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2015年8月宜昌市城区房地产市场分析报告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发布时间：9/17/2015 3:02:28 PM 浏览：2114</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   楼市政策分析</w:t>
            </w:r>
          </w:p>
          <w:p>
            <w:pPr>
              <w:pStyle w:val="3"/>
              <w:keepNext w:val="0"/>
              <w:keepLines w:val="0"/>
              <w:widowControl/>
              <w:suppressLineNumbers w:val="0"/>
              <w:spacing w:line="24" w:lineRule="atLeast"/>
            </w:pPr>
            <w:bookmarkStart w:id="0" w:name="_Toc398024652"/>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一、本月楼市政策一览</w:t>
            </w:r>
            <w:bookmarkEnd w:id="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1、央行降息降准 房贷成本已历史最低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自2015年8月26日起，下调金融机构人民币贷款和存款基准利率，金融机构一年期贷款基准利率下调0.25个百分点至4.6%；一年期存款基准利率下调0.25个百分点至1.75%；其他各档次贷款及存款基准利率、个人住房公积金存贷款利率相应调整。自2015年9月6日起，下调金融机构人民币存款准备金率0.5个百分点，以保持银行体系流动性合理充裕，引导货币信贷平稳适度增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此次降低贷款及存款基准利率，主要目的是继续发挥好基准利率的引导作用，</w:t>
            </w:r>
            <w:r>
              <w:rPr>
                <w:rFonts w:hint="eastAsia" w:ascii="宋体" w:hAnsi="宋体" w:eastAsia="宋体" w:cs="宋体"/>
                <w:b/>
                <w:caps w:val="0"/>
                <w:spacing w:val="0"/>
                <w:kern w:val="0"/>
                <w:sz w:val="20"/>
                <w:szCs w:val="20"/>
                <w:lang w:val="en-US" w:eastAsia="zh-CN" w:bidi="ar"/>
              </w:rPr>
              <w:t>促进降低社会融资成本，支持实体经济持续健康发展。</w:t>
            </w:r>
            <w:r>
              <w:rPr>
                <w:rFonts w:hint="eastAsia" w:ascii="宋体" w:hAnsi="宋体" w:eastAsia="宋体" w:cs="宋体"/>
                <w:caps w:val="0"/>
                <w:spacing w:val="0"/>
                <w:kern w:val="0"/>
                <w:sz w:val="20"/>
                <w:szCs w:val="20"/>
                <w:lang w:val="en-US" w:eastAsia="zh-CN" w:bidi="ar"/>
              </w:rPr>
              <w:t>而降低存款准备金率，主要是根据银行体系流动性变化，适当提供长期流动性，以保持流动性合理充裕，促进经济平稳健康发展。经历年内四轮降息后，</w:t>
            </w:r>
            <w:r>
              <w:rPr>
                <w:rFonts w:hint="eastAsia" w:ascii="宋体" w:hAnsi="宋体" w:eastAsia="宋体" w:cs="宋体"/>
                <w:b/>
                <w:caps w:val="0"/>
                <w:spacing w:val="0"/>
                <w:kern w:val="0"/>
                <w:sz w:val="20"/>
                <w:szCs w:val="20"/>
                <w:lang w:val="en-US" w:eastAsia="zh-CN" w:bidi="ar"/>
              </w:rPr>
              <w:t>目前房贷的成本已经是历史上最低水平，</w:t>
            </w:r>
            <w:r>
              <w:rPr>
                <w:rFonts w:hint="eastAsia" w:ascii="宋体" w:hAnsi="宋体" w:eastAsia="宋体" w:cs="宋体"/>
                <w:caps w:val="0"/>
                <w:spacing w:val="0"/>
                <w:kern w:val="0"/>
                <w:sz w:val="20"/>
                <w:szCs w:val="20"/>
                <w:lang w:val="en-US" w:eastAsia="zh-CN" w:bidi="ar"/>
              </w:rPr>
              <w:t>对于购房者来说目前购房相当于享受了最低的成本，因此应该赶在下半年抓紧出手，以免错失购房好时机。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2、宜昌公积金贷款利率下调 日均提取量近300万元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自2015年8月26日起，我市下调个人住房公积金贷款利率0.25个百分点。其中，个人住房公积金贷款五年以下（含五年）利率从3.0%下调至2.75%；五年以上利率从3.5%下调至3.25%，比商业银行低1.9个百分点。办理公积金提取、贷款业务的职工大幅增加，日均提取量接近300万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这已是年内宜昌住房公积金第四次同步下调贷款利率，</w:t>
            </w:r>
            <w:r>
              <w:rPr>
                <w:rFonts w:hint="eastAsia" w:ascii="宋体" w:hAnsi="宋体" w:eastAsia="宋体" w:cs="宋体"/>
                <w:b/>
                <w:caps w:val="0"/>
                <w:spacing w:val="0"/>
                <w:kern w:val="0"/>
                <w:sz w:val="20"/>
                <w:szCs w:val="20"/>
                <w:lang w:val="en-US" w:eastAsia="zh-CN" w:bidi="ar"/>
              </w:rPr>
              <w:t>此次下调后，宜昌公积金贷款利率再创历史新低，将有利于促进全市住房消费。</w:t>
            </w:r>
            <w:r>
              <w:rPr>
                <w:rFonts w:hint="eastAsia" w:ascii="宋体" w:hAnsi="宋体" w:eastAsia="宋体" w:cs="宋体"/>
                <w:caps w:val="0"/>
                <w:spacing w:val="0"/>
                <w:kern w:val="0"/>
                <w:sz w:val="20"/>
                <w:szCs w:val="20"/>
                <w:lang w:val="en-US" w:eastAsia="zh-CN" w:bidi="ar"/>
              </w:rPr>
              <w:t>以住房公积金贷款额50万元、贷款30年，采用等额本息还款方式为例，降息后借款人每月还款2176元，比商业银行每月少还款554.5元，30年总共可减少利息支出19.96万元。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3、中国放宽房地产外资准入 取消境外个人在华购房限制</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住建部、商务部、发改委、人民银行、工商总局、外汇局等六部委近日下发《关于调整房地产市场外资准入和管理有关政策的通知》。内容主要包括：外商投资房地产企业注册资本与投资总额比例，按《国家工商行政管理局关于中外合资经营企业注册资本与投资总额比例的暂行规定》(工商企字[1987]第38号)执行；取消外商投资房地产企业办理境内贷款、境外贷款、外汇借款结汇必须全部缴付注册资本金的要求；境外机构在境内设立的分支、代表机构(经批准从事经营房地产的企业除外)和在境内工作、学习的境外个人可以购买符合实际需要的自用、自住商品房，对于实施住房限购政策的城市，境外个人购房应当符合当地政策规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政策解读：国家此次政策出台有提振经济、防范资本外逃的考虑。</w:t>
            </w:r>
            <w:r>
              <w:rPr>
                <w:rFonts w:hint="eastAsia" w:ascii="宋体" w:hAnsi="宋体" w:eastAsia="宋体" w:cs="宋体"/>
                <w:caps w:val="0"/>
                <w:spacing w:val="0"/>
                <w:kern w:val="0"/>
                <w:sz w:val="20"/>
                <w:szCs w:val="20"/>
                <w:lang w:val="en-US" w:eastAsia="zh-CN" w:bidi="ar"/>
              </w:rPr>
              <w:t>释放中国欢迎外来资本投资中国的信号，信号的意义甚至强于购房层面的意义。从政策角度看，虽然实际影响有限，但对于购房者的信心有所加强。另外</w:t>
            </w:r>
            <w:r>
              <w:rPr>
                <w:rFonts w:hint="eastAsia" w:ascii="宋体" w:hAnsi="宋体" w:eastAsia="宋体" w:cs="宋体"/>
                <w:b/>
                <w:caps w:val="0"/>
                <w:spacing w:val="0"/>
                <w:kern w:val="0"/>
                <w:sz w:val="20"/>
                <w:szCs w:val="20"/>
                <w:lang w:val="en-US" w:eastAsia="zh-CN" w:bidi="ar"/>
              </w:rPr>
              <w:t>对于一二线城市来说，特别是中高端物业将有直接的利好影响。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政策归纳：</w:t>
            </w:r>
            <w:bookmarkStart w:id="8" w:name="_Toc398024653"/>
            <w:bookmarkEnd w:id="8"/>
            <w:bookmarkStart w:id="9" w:name="_Toc384797620"/>
            <w:bookmarkEnd w:id="9"/>
            <w:bookmarkStart w:id="10" w:name="_Toc384797304"/>
            <w:bookmarkEnd w:id="10"/>
            <w:bookmarkStart w:id="11" w:name="_Toc384797222"/>
            <w:bookmarkEnd w:id="11"/>
            <w:bookmarkStart w:id="12" w:name="_Toc384796963"/>
            <w:bookmarkEnd w:id="12"/>
            <w:bookmarkStart w:id="13" w:name="_Toc380050034"/>
            <w:r>
              <w:rPr>
                <w:rFonts w:hint="eastAsia" w:ascii="宋体" w:hAnsi="宋体" w:eastAsia="宋体" w:cs="宋体"/>
                <w:caps w:val="0"/>
                <w:spacing w:val="0"/>
                <w:kern w:val="0"/>
                <w:sz w:val="20"/>
                <w:szCs w:val="20"/>
                <w:lang w:val="en-US" w:eastAsia="zh-CN" w:bidi="ar"/>
              </w:rPr>
              <w:t>央行降准降息、公积金贷款利率下调以及放宽房地产外资准入并取消境外个人在华购房的限制等一系列政策的出台，</w:t>
            </w:r>
            <w:bookmarkEnd w:id="13"/>
            <w:r>
              <w:rPr>
                <w:rFonts w:hint="eastAsia" w:ascii="宋体" w:hAnsi="宋体" w:eastAsia="宋体" w:cs="宋体"/>
                <w:caps w:val="0"/>
                <w:spacing w:val="0"/>
                <w:kern w:val="0"/>
                <w:sz w:val="20"/>
                <w:szCs w:val="20"/>
                <w:lang w:val="en-US" w:eastAsia="zh-CN" w:bidi="ar"/>
              </w:rPr>
              <w:t>对楼市无疑又是一大利好，</w:t>
            </w:r>
            <w:r>
              <w:rPr>
                <w:rFonts w:hint="eastAsia" w:ascii="宋体" w:hAnsi="宋体" w:eastAsia="宋体" w:cs="宋体"/>
                <w:b/>
                <w:caps w:val="0"/>
                <w:spacing w:val="0"/>
                <w:kern w:val="0"/>
                <w:sz w:val="20"/>
                <w:szCs w:val="20"/>
                <w:lang w:val="en-US" w:eastAsia="zh-CN" w:bidi="ar"/>
              </w:rPr>
              <w:t>今年楼市“金九银十”没有太多悬念，购房者也将从中获得实惠，当前房贷成本已降至历史最低，消费者购房压力进一步减轻，将促进成交量的进一步攀升。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1114425"/>
                  <wp:effectExtent l="0" t="0" r="7620" b="1333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067300" cy="1114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供应情况：</w:t>
            </w:r>
            <w:r>
              <w:rPr>
                <w:rFonts w:hint="eastAsia" w:ascii="宋体" w:hAnsi="宋体" w:eastAsia="宋体" w:cs="宋体"/>
                <w:caps w:val="0"/>
                <w:spacing w:val="0"/>
                <w:kern w:val="0"/>
                <w:sz w:val="20"/>
                <w:szCs w:val="20"/>
                <w:lang w:val="en-US" w:eastAsia="zh-CN" w:bidi="ar"/>
              </w:rPr>
              <w:t>2015年8月，全国300个城市共推出土地2610宗，环比减少5%，同比减少3%；</w:t>
            </w:r>
            <w:r>
              <w:rPr>
                <w:rFonts w:hint="eastAsia" w:ascii="宋体" w:hAnsi="宋体" w:eastAsia="宋体" w:cs="宋体"/>
                <w:b/>
                <w:caps w:val="0"/>
                <w:spacing w:val="0"/>
                <w:kern w:val="0"/>
                <w:sz w:val="20"/>
                <w:szCs w:val="20"/>
                <w:lang w:val="en-US" w:eastAsia="zh-CN" w:bidi="ar"/>
              </w:rPr>
              <w:t>推出土地面积8975万平方米，环比减少1%，同比减少17%。</w:t>
            </w:r>
            <w:r>
              <w:rPr>
                <w:rFonts w:hint="eastAsia" w:ascii="宋体" w:hAnsi="宋体" w:eastAsia="宋体" w:cs="宋体"/>
                <w:caps w:val="0"/>
                <w:spacing w:val="0"/>
                <w:kern w:val="0"/>
                <w:sz w:val="20"/>
                <w:szCs w:val="20"/>
                <w:lang w:val="en-US" w:eastAsia="zh-CN" w:bidi="ar"/>
              </w:rPr>
              <w:t>其中，住宅类用地（含住宅用地及包含住宅用地的综合性用地）731宗，环比增加8%，同比减少5%；推出土地面积2824万平方米，环比增加7%，同比减少15%。</w:t>
            </w:r>
            <w:r>
              <w:rPr>
                <w:rFonts w:hint="eastAsia" w:ascii="宋体" w:hAnsi="宋体" w:eastAsia="宋体" w:cs="宋体"/>
                <w:b/>
                <w:caps w:val="0"/>
                <w:spacing w:val="0"/>
                <w:kern w:val="0"/>
                <w:sz w:val="20"/>
                <w:szCs w:val="20"/>
                <w:lang w:val="en-US" w:eastAsia="zh-CN" w:bidi="ar"/>
              </w:rPr>
              <w:t>本月供地节奏加快，整体与上月基本持平，同比降幅收窄。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成交情况：</w:t>
            </w:r>
            <w:r>
              <w:rPr>
                <w:rFonts w:hint="eastAsia" w:ascii="宋体" w:hAnsi="宋体" w:eastAsia="宋体" w:cs="宋体"/>
                <w:caps w:val="0"/>
                <w:spacing w:val="0"/>
                <w:kern w:val="0"/>
                <w:sz w:val="20"/>
                <w:szCs w:val="20"/>
                <w:lang w:val="en-US" w:eastAsia="zh-CN" w:bidi="ar"/>
              </w:rPr>
              <w:t>2015年8月，全国300个城市共成交土地1531宗，环比减少30%，同比减少36%；</w:t>
            </w:r>
            <w:r>
              <w:rPr>
                <w:rFonts w:hint="eastAsia" w:ascii="宋体" w:hAnsi="宋体" w:eastAsia="宋体" w:cs="宋体"/>
                <w:b/>
                <w:caps w:val="0"/>
                <w:spacing w:val="0"/>
                <w:kern w:val="0"/>
                <w:sz w:val="20"/>
                <w:szCs w:val="20"/>
                <w:lang w:val="en-US" w:eastAsia="zh-CN" w:bidi="ar"/>
              </w:rPr>
              <w:t>成交面积5389万平方米，环比减少29%，同比减少40%。</w:t>
            </w:r>
            <w:r>
              <w:rPr>
                <w:rFonts w:hint="eastAsia" w:ascii="宋体" w:hAnsi="宋体" w:eastAsia="宋体" w:cs="宋体"/>
                <w:caps w:val="0"/>
                <w:spacing w:val="0"/>
                <w:kern w:val="0"/>
                <w:sz w:val="20"/>
                <w:szCs w:val="20"/>
                <w:lang w:val="en-US" w:eastAsia="zh-CN" w:bidi="ar"/>
              </w:rPr>
              <w:t>其中，住宅类用地（含住宅用地及包含住宅用地的综合性用地）396宗，环比减少14%，同比减少28%；成交面积1752万平方米，环比减少16%，同比减少26%。</w:t>
            </w:r>
            <w:r>
              <w:rPr>
                <w:rFonts w:hint="eastAsia" w:ascii="宋体" w:hAnsi="宋体" w:eastAsia="宋体" w:cs="宋体"/>
                <w:b/>
                <w:caps w:val="0"/>
                <w:spacing w:val="0"/>
                <w:kern w:val="0"/>
                <w:sz w:val="20"/>
                <w:szCs w:val="20"/>
                <w:lang w:val="en-US" w:eastAsia="zh-CN" w:bidi="ar"/>
              </w:rPr>
              <w:t>成交量同环比双降。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楼面均价：</w:t>
            </w:r>
            <w:r>
              <w:rPr>
                <w:rFonts w:hint="eastAsia" w:ascii="宋体" w:hAnsi="宋体" w:eastAsia="宋体" w:cs="宋体"/>
                <w:caps w:val="0"/>
                <w:spacing w:val="0"/>
                <w:kern w:val="0"/>
                <w:sz w:val="20"/>
                <w:szCs w:val="20"/>
                <w:lang w:val="en-US" w:eastAsia="zh-CN" w:bidi="ar"/>
              </w:rPr>
              <w:t>全国300个城市成交楼面均价为1360元/平方米，环比上涨12%，同比上涨29%，其中住宅类用地（含住宅用地及包含住宅用地的综合性用地）成交楼面均价为2314元/平方米，环比上涨3%，同比上涨57%。</w:t>
            </w:r>
            <w:r>
              <w:rPr>
                <w:rFonts w:hint="eastAsia" w:ascii="宋体" w:hAnsi="宋体" w:eastAsia="宋体" w:cs="宋体"/>
                <w:b/>
                <w:caps w:val="0"/>
                <w:spacing w:val="0"/>
                <w:kern w:val="0"/>
                <w:sz w:val="20"/>
                <w:szCs w:val="20"/>
                <w:lang w:val="en-US" w:eastAsia="zh-CN" w:bidi="ar"/>
              </w:rPr>
              <w:t>本月品牌房企拿地热情高，楼面均价同环比均上涨</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本月监测的100个城市中（新建）住宅平均价格为10787元/平方米，环比上涨0.95%；从涨跌城市个数来看</w:t>
            </w:r>
            <w:r>
              <w:rPr>
                <w:rFonts w:hint="eastAsia" w:ascii="宋体" w:hAnsi="宋体" w:eastAsia="宋体" w:cs="宋体"/>
                <w:b/>
                <w:caps w:val="0"/>
                <w:spacing w:val="0"/>
                <w:kern w:val="0"/>
                <w:sz w:val="20"/>
                <w:szCs w:val="20"/>
                <w:lang w:val="en-US" w:eastAsia="zh-CN" w:bidi="ar"/>
              </w:rPr>
              <w:t>价格环比上涨的有51个，较上月增加5个；价格环比下跌的城市有49个，较上月减少4个。同比来看</w:t>
            </w:r>
            <w:r>
              <w:rPr>
                <w:rFonts w:hint="eastAsia" w:ascii="宋体" w:hAnsi="宋体" w:eastAsia="宋体" w:cs="宋体"/>
                <w:caps w:val="0"/>
                <w:spacing w:val="0"/>
                <w:kern w:val="0"/>
                <w:sz w:val="20"/>
                <w:szCs w:val="20"/>
                <w:lang w:val="en-US" w:eastAsia="zh-CN" w:bidi="ar"/>
              </w:rPr>
              <w:t>，与2014年8月相比上涨的城市个数为18个，上涨个数较上月增加1个；住宅价格下跌的城市有82个 ，较上月减少了1个。</w:t>
            </w:r>
            <w:r>
              <w:rPr>
                <w:rFonts w:hint="eastAsia" w:ascii="宋体" w:hAnsi="宋体" w:eastAsia="宋体" w:cs="宋体"/>
                <w:b/>
                <w:caps w:val="0"/>
                <w:spacing w:val="0"/>
                <w:kern w:val="0"/>
                <w:sz w:val="20"/>
                <w:szCs w:val="20"/>
                <w:lang w:val="en-US" w:eastAsia="zh-CN" w:bidi="ar"/>
              </w:rPr>
              <w:t>全国十大重点城市住宅均价为19962元/平方米</w:t>
            </w:r>
            <w:r>
              <w:rPr>
                <w:rFonts w:hint="eastAsia" w:ascii="宋体" w:hAnsi="宋体" w:eastAsia="宋体" w:cs="宋体"/>
                <w:caps w:val="0"/>
                <w:spacing w:val="0"/>
                <w:kern w:val="0"/>
                <w:sz w:val="20"/>
                <w:szCs w:val="20"/>
                <w:lang w:val="en-US" w:eastAsia="zh-CN" w:bidi="ar"/>
              </w:rPr>
              <w:t>，环比上涨1.95%，涨幅较上月扩大0.80%，其中上海上涨3.77%，涨幅居首；同比上涨3.83%，涨幅较上月扩大2.53%，其中深圳上涨26.38%，涨幅居首。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三、本地楼市成交情况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1、宜昌城区住宅成交情况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143125"/>
                  <wp:effectExtent l="0" t="0" r="7620" b="5715"/>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5"/>
                          <a:stretch>
                            <a:fillRect/>
                          </a:stretch>
                        </pic:blipFill>
                        <pic:spPr>
                          <a:xfrm>
                            <a:off x="0" y="0"/>
                            <a:ext cx="5067300" cy="2143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   本月宜昌城区住宅成交1488套，成交面积164363平米，成交金额约8.7亿元，</w:t>
            </w:r>
            <w:r>
              <w:rPr>
                <w:rFonts w:hint="eastAsia" w:ascii="宋体" w:hAnsi="宋体" w:eastAsia="宋体" w:cs="宋体"/>
                <w:caps w:val="0"/>
                <w:spacing w:val="0"/>
                <w:kern w:val="0"/>
                <w:sz w:val="20"/>
                <w:szCs w:val="20"/>
                <w:lang w:val="en-US" w:eastAsia="zh-CN" w:bidi="ar"/>
              </w:rPr>
              <w:t>较上月减少72套，</w:t>
            </w:r>
            <w:r>
              <w:rPr>
                <w:rFonts w:hint="eastAsia" w:ascii="宋体" w:hAnsi="宋体" w:eastAsia="宋体" w:cs="宋体"/>
                <w:b/>
                <w:caps w:val="0"/>
                <w:spacing w:val="0"/>
                <w:kern w:val="0"/>
                <w:sz w:val="20"/>
                <w:szCs w:val="20"/>
                <w:lang w:val="en-US" w:eastAsia="zh-CN" w:bidi="ar"/>
              </w:rPr>
              <w:t>环比减少4.6%；</w:t>
            </w:r>
            <w:r>
              <w:rPr>
                <w:rFonts w:hint="eastAsia" w:ascii="宋体" w:hAnsi="宋体" w:eastAsia="宋体" w:cs="宋体"/>
                <w:caps w:val="0"/>
                <w:spacing w:val="0"/>
                <w:kern w:val="0"/>
                <w:sz w:val="20"/>
                <w:szCs w:val="20"/>
                <w:lang w:val="en-US" w:eastAsia="zh-CN" w:bidi="ar"/>
              </w:rPr>
              <w:t>与去年8月相比增加了694套，</w:t>
            </w:r>
            <w:r>
              <w:rPr>
                <w:rFonts w:hint="eastAsia" w:ascii="宋体" w:hAnsi="宋体" w:eastAsia="宋体" w:cs="宋体"/>
                <w:b/>
                <w:caps w:val="0"/>
                <w:spacing w:val="0"/>
                <w:kern w:val="0"/>
                <w:sz w:val="20"/>
                <w:szCs w:val="20"/>
                <w:lang w:val="en-US" w:eastAsia="zh-CN" w:bidi="ar"/>
              </w:rPr>
              <w:t>同比增加87.4%。</w:t>
            </w:r>
            <w:r>
              <w:rPr>
                <w:rFonts w:hint="eastAsia" w:ascii="宋体" w:hAnsi="宋体" w:eastAsia="宋体" w:cs="宋体"/>
                <w:caps w:val="0"/>
                <w:spacing w:val="0"/>
                <w:kern w:val="0"/>
                <w:sz w:val="20"/>
                <w:szCs w:val="20"/>
                <w:lang w:val="en-US" w:eastAsia="zh-CN" w:bidi="ar"/>
              </w:rPr>
              <w:t>由于去年6月28日恒大帝景开盘狂销透支了近两个月要买房的刚需客户，因此导致去年8月成交量萎缩。</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2152650"/>
                  <wp:effectExtent l="0" t="0" r="7620" b="1143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5067300" cy="2152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如图所示，本月成交套数最多的时日为3日、24日、27日、28日、29日、30日以及31日，这些时日均达到70套以上，尤其是月末24日以后成交量显著增加，而在此之前截止到23号本月成交量仅913套；本月1、2日，8、9日，15、16日以及22、23日成交量最低，均不超过30套，这些时日依然为周六周日。</w:t>
            </w:r>
            <w:r>
              <w:rPr>
                <w:rFonts w:hint="eastAsia" w:ascii="宋体" w:hAnsi="宋体" w:eastAsia="宋体" w:cs="宋体"/>
                <w:b/>
                <w:caps w:val="0"/>
                <w:spacing w:val="0"/>
                <w:kern w:val="0"/>
                <w:sz w:val="20"/>
                <w:szCs w:val="20"/>
                <w:lang w:val="en-US" w:eastAsia="zh-CN" w:bidi="ar"/>
              </w:rPr>
              <w:t>碧桂园80号楼加推及81-83号楼8月29日开盘为本月底销量增加贡献不少。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90800" cy="16002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590800" cy="160020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drawing>
                <wp:inline distT="0" distB="0" distL="114300" distR="114300">
                  <wp:extent cx="2647950" cy="1600200"/>
                  <wp:effectExtent l="0" t="0" r="381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264795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本月宜昌楼市从成交区域来看，</w:t>
            </w:r>
            <w:r>
              <w:rPr>
                <w:rFonts w:hint="eastAsia" w:ascii="宋体" w:hAnsi="宋体" w:eastAsia="宋体" w:cs="宋体"/>
                <w:b/>
                <w:caps w:val="0"/>
                <w:spacing w:val="0"/>
                <w:kern w:val="0"/>
                <w:sz w:val="20"/>
                <w:szCs w:val="20"/>
                <w:lang w:val="en-US" w:eastAsia="zh-CN" w:bidi="ar"/>
              </w:rPr>
              <w:t>依然是伍家区和夷陵区占比最大</w:t>
            </w:r>
            <w:r>
              <w:rPr>
                <w:rFonts w:hint="eastAsia" w:ascii="宋体" w:hAnsi="宋体" w:eastAsia="宋体" w:cs="宋体"/>
                <w:caps w:val="0"/>
                <w:spacing w:val="0"/>
                <w:kern w:val="0"/>
                <w:sz w:val="20"/>
                <w:szCs w:val="20"/>
                <w:lang w:val="en-US" w:eastAsia="zh-CN" w:bidi="ar"/>
              </w:rPr>
              <w:t>，其中伍家区成交731套，占比49%；夷陵区成交348套，占比23%；</w:t>
            </w:r>
            <w:r>
              <w:rPr>
                <w:rFonts w:hint="eastAsia" w:ascii="宋体" w:hAnsi="宋体" w:eastAsia="宋体" w:cs="宋体"/>
                <w:b/>
                <w:caps w:val="0"/>
                <w:spacing w:val="0"/>
                <w:kern w:val="0"/>
                <w:sz w:val="20"/>
                <w:szCs w:val="20"/>
                <w:lang w:val="en-US" w:eastAsia="zh-CN" w:bidi="ar"/>
              </w:rPr>
              <w:t>其次是西陵开发区</w:t>
            </w:r>
            <w:r>
              <w:rPr>
                <w:rFonts w:hint="eastAsia" w:ascii="宋体" w:hAnsi="宋体" w:eastAsia="宋体" w:cs="宋体"/>
                <w:caps w:val="0"/>
                <w:spacing w:val="0"/>
                <w:kern w:val="0"/>
                <w:sz w:val="20"/>
                <w:szCs w:val="20"/>
                <w:lang w:val="en-US" w:eastAsia="zh-CN" w:bidi="ar"/>
              </w:rPr>
              <w:t>成交112套，占比8%。</w:t>
            </w:r>
            <w:r>
              <w:rPr>
                <w:rFonts w:hint="eastAsia" w:ascii="宋体" w:hAnsi="宋体" w:eastAsia="宋体" w:cs="宋体"/>
                <w:b/>
                <w:caps w:val="0"/>
                <w:spacing w:val="0"/>
                <w:kern w:val="0"/>
                <w:sz w:val="20"/>
                <w:szCs w:val="20"/>
                <w:lang w:val="en-US" w:eastAsia="zh-CN" w:bidi="ar"/>
              </w:rPr>
              <w:t>成交区域最少的依然是猇亭区和夷陵开发区</w:t>
            </w:r>
            <w:r>
              <w:rPr>
                <w:rFonts w:hint="eastAsia" w:ascii="宋体" w:hAnsi="宋体" w:eastAsia="宋体" w:cs="宋体"/>
                <w:caps w:val="0"/>
                <w:spacing w:val="0"/>
                <w:kern w:val="0"/>
                <w:sz w:val="20"/>
                <w:szCs w:val="20"/>
                <w:lang w:val="en-US" w:eastAsia="zh-CN" w:bidi="ar"/>
              </w:rPr>
              <w:t>，占比都仅为1%。</w:t>
            </w:r>
            <w:r>
              <w:rPr>
                <w:rFonts w:hint="eastAsia" w:ascii="宋体" w:hAnsi="宋体" w:eastAsia="宋体" w:cs="宋体"/>
                <w:b/>
                <w:caps w:val="0"/>
                <w:spacing w:val="0"/>
                <w:kern w:val="0"/>
                <w:sz w:val="20"/>
                <w:szCs w:val="20"/>
                <w:lang w:val="en-US" w:eastAsia="zh-CN" w:bidi="ar"/>
              </w:rPr>
              <w:t>弘洋·拉菲小镇7月开盘致使8月备案数据大增为西陵开发区销量加分不少。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2、宜昌城区二手房成交情况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571750" cy="1466850"/>
                  <wp:effectExtent l="0" t="0" r="3810" b="11430"/>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9"/>
                          <a:stretch>
                            <a:fillRect/>
                          </a:stretch>
                        </pic:blipFill>
                        <pic:spPr>
                          <a:xfrm>
                            <a:off x="0" y="0"/>
                            <a:ext cx="2571750" cy="14668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514600" cy="1466850"/>
                  <wp:effectExtent l="0" t="0" r="0" b="11430"/>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10"/>
                          <a:stretch>
                            <a:fillRect/>
                          </a:stretch>
                        </pic:blipFill>
                        <pic:spPr>
                          <a:xfrm>
                            <a:off x="0" y="0"/>
                            <a:ext cx="2514600"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2015年1-8月宜昌城区二手房成交4646套，成交面积43.8万方，成交总金额12.9亿元</w:t>
            </w:r>
            <w:r>
              <w:rPr>
                <w:rFonts w:hint="eastAsia" w:ascii="宋体" w:hAnsi="宋体" w:eastAsia="宋体" w:cs="宋体"/>
                <w:caps w:val="0"/>
                <w:spacing w:val="0"/>
                <w:kern w:val="0"/>
                <w:sz w:val="20"/>
                <w:szCs w:val="20"/>
                <w:lang w:val="en-US" w:eastAsia="zh-CN" w:bidi="ar"/>
              </w:rPr>
              <w:t>。就区域来看，西陵区成交23.7万方，2560套，成交金额6.6亿；其次是伍家区成交13.6万方，1402套，成交金额4.7亿，其它区域成交量均不大，夷陵区仅成交9套。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本月宜昌城区二手房成交638套，成交面积5.9万方，成交金额1.7亿，比7月增加了141套，环比上涨28%。</w:t>
            </w:r>
            <w:r>
              <w:rPr>
                <w:rFonts w:hint="eastAsia" w:ascii="宋体" w:hAnsi="宋体" w:eastAsia="宋体" w:cs="宋体"/>
                <w:caps w:val="0"/>
                <w:spacing w:val="0"/>
                <w:kern w:val="0"/>
                <w:sz w:val="20"/>
                <w:szCs w:val="20"/>
                <w:lang w:val="en-US" w:eastAsia="zh-CN" w:bidi="ar"/>
              </w:rPr>
              <w:t>就成交区域来看，西陵区成交3.2万方，344套，比上月增加70套，环比上涨26%；伍家区成交1.7万方，196套，比上月增加51套，环比上涨4%。8月股市宽幅震荡，卖房补仓，获利买房，致使二手房市场交易活跃。</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pPr>
            <w:bookmarkStart w:id="14" w:name="_Toc398024655"/>
            <w:bookmarkEnd w:id="14"/>
            <w:bookmarkStart w:id="15" w:name="_Toc384797622"/>
            <w:bookmarkEnd w:id="15"/>
            <w:bookmarkStart w:id="16" w:name="_Toc384797306"/>
            <w:bookmarkEnd w:id="16"/>
            <w:bookmarkStart w:id="17" w:name="_Toc384797224"/>
            <w:bookmarkEnd w:id="17"/>
            <w:bookmarkStart w:id="18" w:name="_Toc384796965"/>
            <w:bookmarkEnd w:id="18"/>
            <w:bookmarkStart w:id="19" w:name="_Toc380050036"/>
            <w:bookmarkEnd w:id="19"/>
            <w:bookmarkStart w:id="20" w:name="_Toc353178132"/>
            <w:bookmarkEnd w:id="20"/>
            <w:bookmarkStart w:id="21" w:name="_Toc347757546"/>
            <w:bookmarkEnd w:id="21"/>
            <w:r>
              <w:rPr>
                <w:caps w:val="0"/>
                <w:spacing w:val="0"/>
              </w:rPr>
              <w:t>   </w:t>
            </w:r>
            <w:bookmarkStart w:id="22" w:name="_Toc339981458"/>
            <w:r>
              <w:rPr>
                <w:rFonts w:hint="eastAsia" w:ascii="宋体" w:hAnsi="宋体" w:eastAsia="宋体" w:cs="宋体"/>
                <w:caps w:val="0"/>
                <w:spacing w:val="0"/>
                <w:sz w:val="20"/>
                <w:szCs w:val="20"/>
              </w:rPr>
              <w:t>一、土地供应市场解析</w:t>
            </w:r>
            <w:bookmarkEnd w:id="2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3" w:name="_Toc380050037"/>
            <w:bookmarkEnd w:id="23"/>
            <w:r>
              <w:rPr>
                <w:rFonts w:hint="eastAsia" w:ascii="宋体" w:hAnsi="宋体" w:eastAsia="宋体" w:cs="宋体"/>
                <w:caps w:val="0"/>
                <w:spacing w:val="0"/>
                <w:kern w:val="0"/>
                <w:sz w:val="14"/>
                <w:szCs w:val="14"/>
                <w:lang w:val="en-US" w:eastAsia="zh-CN" w:bidi="ar"/>
              </w:rPr>
              <w:t>    </w:t>
            </w:r>
            <w:bookmarkStart w:id="24" w:name="_Toc350245826"/>
            <w:r>
              <w:rPr>
                <w:rFonts w:hint="eastAsia" w:ascii="宋体" w:hAnsi="宋体" w:eastAsia="宋体" w:cs="宋体"/>
                <w:b/>
                <w:caps w:val="0"/>
                <w:spacing w:val="0"/>
                <w:kern w:val="0"/>
                <w:sz w:val="20"/>
                <w:szCs w:val="20"/>
                <w:lang w:val="en-US" w:eastAsia="zh-CN" w:bidi="ar"/>
              </w:rPr>
              <w:t>1</w:t>
            </w:r>
            <w:bookmarkEnd w:id="24"/>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本月出让土地5宗，出让总面积9.88万方，出让总额为1.33亿元。环比7月，地块减少了12宗 ，面积减少了82.16万方，环比减少89%；与去年8月相比，地块减少了6宗，面积减少了99.69万方，同比减少91%。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8月出让地块情况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114425"/>
                  <wp:effectExtent l="0" t="0" r="0" b="1333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5334000" cy="1114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 2014年8月-2015年8月宜昌城区土地供给横向对比</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181100"/>
                  <wp:effectExtent l="0" t="0" r="0" b="762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5334000" cy="11811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w:t>
            </w:r>
            <w:r>
              <w:rPr>
                <w:rFonts w:hint="eastAsia" w:ascii="宋体" w:hAnsi="宋体" w:eastAsia="宋体" w:cs="宋体"/>
                <w:caps w:val="0"/>
                <w:spacing w:val="0"/>
                <w:kern w:val="0"/>
                <w:sz w:val="20"/>
                <w:szCs w:val="20"/>
                <w:lang w:val="en-US" w:eastAsia="zh-CN" w:bidi="ar"/>
              </w:rPr>
              <w:t>住宅用地有2宗，商业用地1宗、工业用地1宗、文化活动用地1宗；</w:t>
            </w:r>
            <w:r>
              <w:rPr>
                <w:rFonts w:hint="eastAsia" w:ascii="宋体" w:hAnsi="宋体" w:eastAsia="宋体" w:cs="宋体"/>
                <w:b/>
                <w:caps w:val="0"/>
                <w:spacing w:val="0"/>
                <w:kern w:val="0"/>
                <w:sz w:val="20"/>
                <w:szCs w:val="20"/>
                <w:lang w:val="en-US" w:eastAsia="zh-CN" w:bidi="ar"/>
              </w:rPr>
              <w:t>从区域来看，</w:t>
            </w:r>
            <w:r>
              <w:rPr>
                <w:rFonts w:hint="eastAsia" w:ascii="宋体" w:hAnsi="宋体" w:eastAsia="宋体" w:cs="宋体"/>
                <w:caps w:val="0"/>
                <w:spacing w:val="0"/>
                <w:kern w:val="0"/>
                <w:sz w:val="20"/>
                <w:szCs w:val="20"/>
                <w:lang w:val="en-US" w:eastAsia="zh-CN" w:bidi="ar"/>
              </w:rPr>
              <w:t>本月出让的地块夷陵区有4宗，点军区有1宗。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本月出让的住宅及商业用地详情：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【宜土网挂（2015）37号】，</w:t>
            </w:r>
            <w:r>
              <w:rPr>
                <w:rFonts w:hint="eastAsia" w:ascii="宋体" w:hAnsi="宋体" w:eastAsia="宋体" w:cs="宋体"/>
                <w:caps w:val="0"/>
                <w:spacing w:val="0"/>
                <w:kern w:val="0"/>
                <w:sz w:val="20"/>
                <w:szCs w:val="20"/>
                <w:lang w:val="en-US" w:eastAsia="zh-CN" w:bidi="ar"/>
              </w:rPr>
              <w:t>地块位于点军区点军街办五龙社区（夷桥路与南站路交汇处），出让面积为3566.23平米，容积率0.5，预计未来放量约1783平米（只含地上建筑面积）。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【夷G[2015]28号】，</w:t>
            </w:r>
            <w:r>
              <w:rPr>
                <w:rFonts w:hint="eastAsia" w:ascii="宋体" w:hAnsi="宋体" w:eastAsia="宋体" w:cs="宋体"/>
                <w:caps w:val="0"/>
                <w:spacing w:val="0"/>
                <w:kern w:val="0"/>
                <w:sz w:val="20"/>
                <w:szCs w:val="20"/>
                <w:lang w:val="en-US" w:eastAsia="zh-CN" w:bidi="ar"/>
              </w:rPr>
              <w:t>地块位于东城城乡统筹试验区郭家湾村，出让面积为17693.66平米，容积率2.0，预计未来放量约35387平米（只含地上建筑面积）。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【夷G[2015]30号】，</w:t>
            </w:r>
            <w:r>
              <w:rPr>
                <w:rFonts w:hint="eastAsia" w:ascii="宋体" w:hAnsi="宋体" w:eastAsia="宋体" w:cs="宋体"/>
                <w:caps w:val="0"/>
                <w:spacing w:val="0"/>
                <w:kern w:val="0"/>
                <w:sz w:val="20"/>
                <w:szCs w:val="20"/>
                <w:lang w:val="en-US" w:eastAsia="zh-CN" w:bidi="ar"/>
              </w:rPr>
              <w:t>地块位于东城城乡统筹试验区郭家湾村，出让面积70108.91平米，容积率1.5，预计未来放量约105163平米（只含地上建筑面积）。</w:t>
            </w:r>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本月成交地块24宗，成交面积134.88万方，成交总金额21.35亿元，成交均价为105.50万元/亩。地块比7月增加19宗，面积增加75.73万方，环比增长128%；与去年8月相比，地块增加11宗，面积增加101.26万方，同比增长301%。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8月成交地块情况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943350"/>
                  <wp:effectExtent l="0" t="0" r="0" b="381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5334000" cy="3943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w:t>
            </w:r>
            <w:r>
              <w:rPr>
                <w:rFonts w:hint="eastAsia" w:ascii="宋体" w:hAnsi="宋体" w:eastAsia="宋体" w:cs="宋体"/>
                <w:caps w:val="0"/>
                <w:spacing w:val="0"/>
                <w:kern w:val="0"/>
                <w:sz w:val="20"/>
                <w:szCs w:val="20"/>
                <w:lang w:val="en-US" w:eastAsia="zh-CN" w:bidi="ar"/>
              </w:rPr>
              <w:t>工业用地有10宗，住宅用地5宗，商住用地3宗，商服用地2宗，商业用地2宗，仓储用地1宗，幼儿园设施用地1宗；</w:t>
            </w:r>
            <w:r>
              <w:rPr>
                <w:rFonts w:hint="eastAsia" w:ascii="宋体" w:hAnsi="宋体" w:eastAsia="宋体" w:cs="宋体"/>
                <w:b/>
                <w:caps w:val="0"/>
                <w:spacing w:val="0"/>
                <w:kern w:val="0"/>
                <w:sz w:val="20"/>
                <w:szCs w:val="20"/>
                <w:lang w:val="en-US" w:eastAsia="zh-CN" w:bidi="ar"/>
              </w:rPr>
              <w:t>从区域来看，</w:t>
            </w:r>
            <w:r>
              <w:rPr>
                <w:rFonts w:hint="eastAsia" w:ascii="宋体" w:hAnsi="宋体" w:eastAsia="宋体" w:cs="宋体"/>
                <w:caps w:val="0"/>
                <w:spacing w:val="0"/>
                <w:kern w:val="0"/>
                <w:sz w:val="20"/>
                <w:szCs w:val="20"/>
                <w:lang w:val="en-US" w:eastAsia="zh-CN" w:bidi="ar"/>
              </w:rPr>
              <w:t>本月成交的地块高新区有9宗，夷陵区8宗，点军区3宗，伍家区2宗，西陵区和猇亭区各1宗。</w:t>
            </w:r>
            <w:r>
              <w:rPr>
                <w:rFonts w:hint="eastAsia" w:ascii="宋体" w:hAnsi="宋体" w:eastAsia="宋体" w:cs="宋体"/>
                <w:b/>
                <w:caps w:val="0"/>
                <w:spacing w:val="0"/>
                <w:kern w:val="0"/>
                <w:sz w:val="20"/>
                <w:szCs w:val="20"/>
                <w:lang w:val="en-US" w:eastAsia="zh-CN" w:bidi="ar"/>
              </w:rPr>
              <w:t>本月成交的住宅及商业用地主要集中在高新区峡州大道附近和点军区江南大道附近。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3、本月成交重点地块介绍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【宜土网挂（2015）29号】，</w:t>
            </w:r>
            <w:r>
              <w:rPr>
                <w:rFonts w:hint="eastAsia" w:ascii="宋体" w:hAnsi="宋体" w:eastAsia="宋体" w:cs="宋体"/>
                <w:caps w:val="0"/>
                <w:spacing w:val="0"/>
                <w:kern w:val="0"/>
                <w:sz w:val="20"/>
                <w:szCs w:val="20"/>
                <w:lang w:val="en-US" w:eastAsia="zh-CN" w:bidi="ar"/>
              </w:rPr>
              <w:t>地块位于宜昌市沿江大道44号，规划用地性质为居住及商务，由宜昌信合置业有限公司竟得，总占地面积10600.15平方米（合15.90亩），容积率5.9，成交价943万元/亩，楼面地价约2398元/㎡。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【宜土网挂（2015）33号】，</w:t>
            </w:r>
            <w:r>
              <w:rPr>
                <w:rFonts w:hint="eastAsia" w:ascii="宋体" w:hAnsi="宋体" w:eastAsia="宋体" w:cs="宋体"/>
                <w:caps w:val="0"/>
                <w:spacing w:val="0"/>
                <w:kern w:val="0"/>
                <w:sz w:val="20"/>
                <w:szCs w:val="20"/>
                <w:lang w:val="en-US" w:eastAsia="zh-CN" w:bidi="ar"/>
              </w:rPr>
              <w:t>地块位于点军区点军大道北侧，规划用地性质为住宅，由宜昌碧桂园房地产开发有限公司竟得，总占地面积56800.15平方米（合85.20亩），容积率2.0，成交价147万元/亩，楼面地价约1100元/㎡。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【宜土网挂（2015）34号】，</w:t>
            </w:r>
            <w:r>
              <w:rPr>
                <w:rFonts w:hint="eastAsia" w:ascii="宋体" w:hAnsi="宋体" w:eastAsia="宋体" w:cs="宋体"/>
                <w:caps w:val="0"/>
                <w:spacing w:val="0"/>
                <w:kern w:val="0"/>
                <w:sz w:val="20"/>
                <w:szCs w:val="20"/>
                <w:lang w:val="en-US" w:eastAsia="zh-CN" w:bidi="ar"/>
              </w:rPr>
              <w:t>地块位于点军区江南大道与将军路交汇处，规划用地性质为商住，由宜昌江南文化旅游实业发展有限公司竟得，总占地面积198377.47平方米（合297.57亩），容积率1.4，成交价105万元/亩，楼面地价约1123元/㎡。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【宜土网挂（2015）35号】，</w:t>
            </w:r>
            <w:r>
              <w:rPr>
                <w:rFonts w:hint="eastAsia" w:ascii="宋体" w:hAnsi="宋体" w:eastAsia="宋体" w:cs="宋体"/>
                <w:caps w:val="0"/>
                <w:spacing w:val="0"/>
                <w:kern w:val="0"/>
                <w:sz w:val="20"/>
                <w:szCs w:val="20"/>
                <w:lang w:val="en-US" w:eastAsia="zh-CN" w:bidi="ar"/>
              </w:rPr>
              <w:t>地块位于点军区点军大道与江南二路交汇处，规划用地性质为住宅，由宜昌碧桂园房地产开发有限公司竟得，总占地面积101221.46平方米（合151.83亩），容积率2.2，成交价161万元/亩，楼面地价约1100元/㎡。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【夷G[2015]22号】，</w:t>
            </w:r>
            <w:r>
              <w:rPr>
                <w:rFonts w:hint="eastAsia" w:ascii="宋体" w:hAnsi="宋体" w:eastAsia="宋体" w:cs="宋体"/>
                <w:caps w:val="0"/>
                <w:spacing w:val="0"/>
                <w:kern w:val="0"/>
                <w:sz w:val="20"/>
                <w:szCs w:val="20"/>
                <w:lang w:val="en-US" w:eastAsia="zh-CN" w:bidi="ar"/>
              </w:rPr>
              <w:t>地块位于夷陵区东城城乡统筹试验区郭家湾村，规划用地性质为商服住宅，由宜昌金亚房地产有限公司竟得，总占地面积117746.9(合176.62亩)，容积率2.4，成交价200万元/亩，楼面地价约1252元/㎡。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4、2014年8月-2015年8月土地市场成交走势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028825"/>
                  <wp:effectExtent l="0" t="0" r="7620" b="1333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5067300" cy="20288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124075"/>
                  <wp:effectExtent l="0" t="0" r="7620" b="9525"/>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5067300" cy="21240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如上图所示，土地成交面积自去年12月达到顶峰后一直处于滑落状态，5、6月份更是零成交，7月开始攀升，8月逼近去年12月的高峰；成交价格与上个月基本持平。</w:t>
            </w:r>
            <w:r>
              <w:rPr>
                <w:rFonts w:hint="eastAsia" w:ascii="宋体" w:hAnsi="宋体" w:eastAsia="宋体" w:cs="宋体"/>
                <w:b/>
                <w:caps w:val="0"/>
                <w:spacing w:val="0"/>
                <w:kern w:val="0"/>
                <w:sz w:val="20"/>
                <w:szCs w:val="20"/>
                <w:lang w:val="en-US" w:eastAsia="zh-CN" w:bidi="ar"/>
              </w:rPr>
              <w:t>前期出台的众多利好政策，对楼市产生积极影响，市场有回暖迹象，致使开发商拿地热情增加。</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本月认筹项目有：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中核·半岛城邦认筹2千抵2万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中建·宜昌之星认筹5千抵5万；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山水华庭4期认筹1万抵3万；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宜化·新天地花园洋房认筹2万抵10万。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香山·福久源21号楼8月1日开盘；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繁荣世家2号楼8月18日开盘；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东辰雅园1、5号楼8月22日开盘；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碧桂园81-83号楼8月29日开盘。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预计下月开盘项目有：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正泰·玫瑰园9月1日开盘；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中建·宜昌之星9月5日开盘；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中核·半岛城邦预计9月中下旬开盘；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华鹏·梧桐邑八合院别墅预计9月开盘。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主城区其它重点项目动态：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8月8日，中核·半岛城邦营销中心开放；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8月8日，中建·宜昌之星“2015首届宜昌国际冰雪节”启幕；</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8月9日，恒大帝景举办拉斯维加斯奇幻之旅活动；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8月15日，恒大绿洲举办“超市大赢家”活动；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8月29日，清江·月亮湾万达外展点开放。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t>一、西陵区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4610100"/>
                  <wp:effectExtent l="0" t="0" r="0" b="762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5334000" cy="4610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Style w:val="6"/>
                <w:rFonts w:hint="eastAsia" w:ascii="宋体" w:hAnsi="宋体" w:eastAsia="宋体" w:cs="宋体"/>
                <w:caps w:val="0"/>
                <w:spacing w:val="0"/>
                <w:kern w:val="0"/>
                <w:sz w:val="20"/>
                <w:szCs w:val="20"/>
                <w:lang w:val="en-US" w:eastAsia="zh-CN" w:bidi="ar"/>
              </w:rPr>
              <w:t> 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5181600"/>
                  <wp:effectExtent l="0" t="0" r="0" b="0"/>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7"/>
                          <a:stretch>
                            <a:fillRect/>
                          </a:stretch>
                        </pic:blipFill>
                        <pic:spPr>
                          <a:xfrm>
                            <a:off x="0" y="0"/>
                            <a:ext cx="4800600" cy="518160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drawing>
                <wp:inline distT="0" distB="0" distL="114300" distR="114300">
                  <wp:extent cx="4800600" cy="5314950"/>
                  <wp:effectExtent l="0" t="0" r="0" b="3810"/>
                  <wp:docPr id="1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70"/>
                          <pic:cNvPicPr>
                            <a:picLocks noChangeAspect="1"/>
                          </pic:cNvPicPr>
                        </pic:nvPicPr>
                        <pic:blipFill>
                          <a:blip r:embed="rId18"/>
                          <a:stretch>
                            <a:fillRect/>
                          </a:stretch>
                        </pic:blipFill>
                        <pic:spPr>
                          <a:xfrm>
                            <a:off x="0" y="0"/>
                            <a:ext cx="4800600" cy="5314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东辰雅园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伍家岗区城东生态新区合益路（30路公交终点站）</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宜昌城投房地产开发有限公司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占地面积50353平方米 ，总建筑面积195429平方米 ，总户数1617户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由8栋28-33层高层组成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3295650"/>
                  <wp:effectExtent l="0" t="0" r="7620" b="11430"/>
                  <wp:docPr id="1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71"/>
                          <pic:cNvPicPr>
                            <a:picLocks noChangeAspect="1"/>
                          </pic:cNvPicPr>
                        </pic:nvPicPr>
                        <pic:blipFill>
                          <a:blip r:embed="rId19"/>
                          <a:stretch>
                            <a:fillRect/>
                          </a:stretch>
                        </pic:blipFill>
                        <pic:spPr>
                          <a:xfrm>
                            <a:off x="0" y="0"/>
                            <a:ext cx="5067300" cy="3295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□户型面积：67-143平米两房至四房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A1：111.46㎡/ 3室2厅1卫             A2：84.19㎡/ 2室2厅1卫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B1：88.27㎡/ 3室2厅1卫              B2：67.14㎡/ 2室2厅1卫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C1：143.38㎡/4室2厅2卫              C2：126.37㎡/ 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□项目动态：2月8日，</w:t>
            </w:r>
            <w:r>
              <w:rPr>
                <w:rFonts w:hint="eastAsia" w:ascii="宋体" w:hAnsi="宋体" w:eastAsia="宋体" w:cs="宋体"/>
                <w:caps w:val="0"/>
                <w:spacing w:val="0"/>
                <w:kern w:val="0"/>
                <w:sz w:val="20"/>
                <w:szCs w:val="20"/>
                <w:lang w:val="en-US" w:eastAsia="zh-CN" w:bidi="ar"/>
              </w:rPr>
              <w:t>展示中心开放（原东辰一号峰景售楼部）；</w:t>
            </w:r>
            <w:r>
              <w:rPr>
                <w:rFonts w:hint="eastAsia" w:ascii="宋体" w:hAnsi="宋体" w:eastAsia="宋体" w:cs="宋体"/>
                <w:b/>
                <w:caps w:val="0"/>
                <w:spacing w:val="0"/>
                <w:kern w:val="0"/>
                <w:sz w:val="20"/>
                <w:szCs w:val="20"/>
                <w:lang w:val="en-US" w:eastAsia="zh-CN" w:bidi="ar"/>
              </w:rPr>
              <w:t>8月1日</w:t>
            </w:r>
            <w:r>
              <w:rPr>
                <w:rFonts w:hint="eastAsia" w:ascii="宋体" w:hAnsi="宋体" w:eastAsia="宋体" w:cs="宋体"/>
                <w:caps w:val="0"/>
                <w:spacing w:val="0"/>
                <w:kern w:val="0"/>
                <w:sz w:val="20"/>
                <w:szCs w:val="20"/>
                <w:lang w:val="en-US" w:eastAsia="zh-CN" w:bidi="ar"/>
              </w:rPr>
              <w:t>，启动认筹1万抵2万；</w:t>
            </w:r>
            <w:r>
              <w:rPr>
                <w:rFonts w:hint="eastAsia" w:ascii="宋体" w:hAnsi="宋体" w:eastAsia="宋体" w:cs="宋体"/>
                <w:b/>
                <w:caps w:val="0"/>
                <w:spacing w:val="0"/>
                <w:kern w:val="0"/>
                <w:sz w:val="20"/>
                <w:szCs w:val="20"/>
                <w:lang w:val="en-US" w:eastAsia="zh-CN" w:bidi="ar"/>
              </w:rPr>
              <w:t>8月22日</w:t>
            </w:r>
            <w:r>
              <w:rPr>
                <w:rFonts w:hint="eastAsia" w:ascii="宋体" w:hAnsi="宋体" w:eastAsia="宋体" w:cs="宋体"/>
                <w:caps w:val="0"/>
                <w:spacing w:val="0"/>
                <w:kern w:val="0"/>
                <w:sz w:val="20"/>
                <w:szCs w:val="20"/>
                <w:lang w:val="en-US" w:eastAsia="zh-CN" w:bidi="ar"/>
              </w:rPr>
              <w:t>，1、5号楼开盘。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□销售情况：</w:t>
            </w:r>
            <w:r>
              <w:rPr>
                <w:rFonts w:hint="eastAsia" w:ascii="宋体" w:hAnsi="宋体" w:eastAsia="宋体" w:cs="宋体"/>
                <w:caps w:val="0"/>
                <w:spacing w:val="0"/>
                <w:kern w:val="0"/>
                <w:sz w:val="20"/>
                <w:szCs w:val="20"/>
                <w:lang w:val="en-US" w:eastAsia="zh-CN" w:bidi="ar"/>
              </w:rPr>
              <w:t>8月22日开盘，1号楼67-111平米住宅</w:t>
            </w:r>
            <w:r>
              <w:rPr>
                <w:rFonts w:hint="eastAsia" w:ascii="宋体" w:hAnsi="宋体" w:eastAsia="宋体" w:cs="宋体"/>
                <w:b/>
                <w:caps w:val="0"/>
                <w:spacing w:val="0"/>
                <w:kern w:val="0"/>
                <w:sz w:val="20"/>
                <w:szCs w:val="20"/>
                <w:lang w:val="en-US" w:eastAsia="zh-CN" w:bidi="ar"/>
              </w:rPr>
              <w:t>224套房源已备案29套，去化率13%，备案均价4878元/㎡；</w:t>
            </w:r>
            <w:r>
              <w:rPr>
                <w:rFonts w:hint="eastAsia" w:ascii="宋体" w:hAnsi="宋体" w:eastAsia="宋体" w:cs="宋体"/>
                <w:caps w:val="0"/>
                <w:spacing w:val="0"/>
                <w:kern w:val="0"/>
                <w:sz w:val="20"/>
                <w:szCs w:val="20"/>
                <w:lang w:val="en-US" w:eastAsia="zh-CN" w:bidi="ar"/>
              </w:rPr>
              <w:t>5号楼户型面积76-143平米，</w:t>
            </w:r>
            <w:r>
              <w:rPr>
                <w:rFonts w:hint="eastAsia" w:ascii="宋体" w:hAnsi="宋体" w:eastAsia="宋体" w:cs="宋体"/>
                <w:b/>
                <w:caps w:val="0"/>
                <w:spacing w:val="0"/>
                <w:kern w:val="0"/>
                <w:sz w:val="20"/>
                <w:szCs w:val="20"/>
                <w:lang w:val="en-US" w:eastAsia="zh-CN" w:bidi="ar"/>
              </w:rPr>
              <w:t>217套房源已备案7套，去化率3%，备案均价4987元/㎡。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位于城东生态新区合益路，合益路贯通东山大道BRT、城市主干道城东大道、城市快速路峡州大道、城际高速路汉宜高速，交通非常便利；准现房销售展现城投国企实力；户型面积多样可满足不同客户需求。不足之处：新售楼部开放时间和开盘时间一拖再拖对项目口碑造成一定影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三、高新区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200650" cy="5715000"/>
                  <wp:effectExtent l="0" t="0" r="11430" b="0"/>
                  <wp:docPr id="1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72"/>
                          <pic:cNvPicPr>
                            <a:picLocks noChangeAspect="1"/>
                          </pic:cNvPicPr>
                        </pic:nvPicPr>
                        <pic:blipFill>
                          <a:blip r:embed="rId20"/>
                          <a:stretch>
                            <a:fillRect/>
                          </a:stretch>
                        </pic:blipFill>
                        <pic:spPr>
                          <a:xfrm>
                            <a:off x="0" y="0"/>
                            <a:ext cx="5200650" cy="5715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Style w:val="6"/>
                <w:rFonts w:hint="eastAsia" w:ascii="宋体" w:hAnsi="宋体" w:eastAsia="宋体" w:cs="宋体"/>
                <w:caps w:val="0"/>
                <w:spacing w:val="0"/>
                <w:kern w:val="0"/>
                <w:sz w:val="20"/>
                <w:szCs w:val="20"/>
                <w:lang w:val="en-US" w:eastAsia="zh-CN" w:bidi="ar"/>
              </w:rPr>
              <w:t>四、夷陵区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5514975"/>
                  <wp:effectExtent l="0" t="0" r="7620" b="1905"/>
                  <wp:docPr id="1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3"/>
                          <pic:cNvPicPr>
                            <a:picLocks noChangeAspect="1"/>
                          </pic:cNvPicPr>
                        </pic:nvPicPr>
                        <pic:blipFill>
                          <a:blip r:embed="rId21"/>
                          <a:stretch>
                            <a:fillRect/>
                          </a:stretch>
                        </pic:blipFill>
                        <pic:spPr>
                          <a:xfrm>
                            <a:off x="0" y="0"/>
                            <a:ext cx="5067300" cy="5514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长河湾2期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宜昌市夷陵区三峡路10号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□开发商：</w:t>
            </w:r>
            <w:r>
              <w:rPr>
                <w:rFonts w:hint="eastAsia" w:ascii="宋体" w:hAnsi="宋体" w:eastAsia="宋体" w:cs="宋体"/>
                <w:caps w:val="0"/>
                <w:spacing w:val="0"/>
                <w:kern w:val="0"/>
                <w:sz w:val="20"/>
                <w:szCs w:val="20"/>
                <w:lang w:val="en-US" w:eastAsia="zh-CN" w:bidi="ar"/>
              </w:rPr>
              <w:t>宜昌江枫置业有限公司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二期总建面约8万方 （地上建面约6万方、地下建面约2万方），住宅总户数552户，停车位517个（地上143个，地下374个），容积率2.2。</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 由6栋18-28层高层组成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C：119.65㎡/ 3室2厅2卫     D：89.77㎡/2室2厅1卫    G：133.31㎡/3室2厅2卫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552575" cy="1466850"/>
                  <wp:effectExtent l="0" t="0" r="1905" b="11430"/>
                  <wp:docPr id="2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74"/>
                          <pic:cNvPicPr>
                            <a:picLocks noChangeAspect="1"/>
                          </pic:cNvPicPr>
                        </pic:nvPicPr>
                        <pic:blipFill>
                          <a:blip r:embed="rId22"/>
                          <a:stretch>
                            <a:fillRect/>
                          </a:stretch>
                        </pic:blipFill>
                        <pic:spPr>
                          <a:xfrm>
                            <a:off x="0" y="0"/>
                            <a:ext cx="1552575" cy="146685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drawing>
                <wp:inline distT="0" distB="0" distL="114300" distR="114300">
                  <wp:extent cx="1238250" cy="1466850"/>
                  <wp:effectExtent l="0" t="0" r="11430" b="11430"/>
                  <wp:docPr id="2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IMG_275"/>
                          <pic:cNvPicPr>
                            <a:picLocks noChangeAspect="1"/>
                          </pic:cNvPicPr>
                        </pic:nvPicPr>
                        <pic:blipFill>
                          <a:blip r:embed="rId23"/>
                          <a:stretch>
                            <a:fillRect/>
                          </a:stretch>
                        </pic:blipFill>
                        <pic:spPr>
                          <a:xfrm>
                            <a:off x="0" y="0"/>
                            <a:ext cx="1238250" cy="146685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drawing>
                <wp:inline distT="0" distB="0" distL="114300" distR="114300">
                  <wp:extent cx="1381125" cy="1466850"/>
                  <wp:effectExtent l="0" t="0" r="5715" b="1143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138112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□销售情况：</w:t>
            </w:r>
            <w:r>
              <w:rPr>
                <w:rFonts w:hint="eastAsia" w:ascii="宋体" w:hAnsi="宋体" w:eastAsia="宋体" w:cs="宋体"/>
                <w:caps w:val="0"/>
                <w:spacing w:val="0"/>
                <w:kern w:val="0"/>
                <w:sz w:val="20"/>
                <w:szCs w:val="20"/>
                <w:lang w:val="en-US" w:eastAsia="zh-CN" w:bidi="ar"/>
              </w:rPr>
              <w:t>2期7-12号楼共552套房源，户型面积64-133平米，2013年1月售楼部开放，同年9月开盘，</w:t>
            </w:r>
            <w:r>
              <w:rPr>
                <w:rFonts w:hint="eastAsia" w:ascii="宋体" w:hAnsi="宋体" w:eastAsia="宋体" w:cs="宋体"/>
                <w:b/>
                <w:caps w:val="0"/>
                <w:spacing w:val="0"/>
                <w:kern w:val="0"/>
                <w:sz w:val="20"/>
                <w:szCs w:val="20"/>
                <w:lang w:val="en-US" w:eastAsia="zh-CN" w:bidi="ar"/>
              </w:rPr>
              <w:t>两年时间共备案267套，去化率仅48%，备案均价4600元/㎡。</w:t>
            </w:r>
            <w:r>
              <w:rPr>
                <w:rFonts w:hint="eastAsia" w:ascii="宋体" w:hAnsi="宋体" w:eastAsia="宋体" w:cs="宋体"/>
                <w:caps w:val="0"/>
                <w:spacing w:val="0"/>
                <w:kern w:val="0"/>
                <w:sz w:val="20"/>
                <w:szCs w:val="20"/>
                <w:lang w:val="en-US" w:eastAsia="zh-CN" w:bidi="ar"/>
              </w:rPr>
              <w:t>其中，7号楼72套房源备案45套，去化率63%；8号楼96套房源备案52套，去化率54%；9号楼96套房源备案42套，去化率44%；10号楼88套房源备案24套，去化率27%；11号楼112套房源备案45套，去化率40%；12号楼88套房源备案59套，去化率67%。</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临主干道及三峡高速，交通便捷；周边配套成熟完善，临近长江市场，居家生活便利；户型面积从64-133平米8种户型满足不同客户需求；项目临近交房无需等待，即买即住。不足之处：项目缺乏宣传和包装，售楼部人气不足，销售进度较缓慢。</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五、点军区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25" w:name="_Toc384797315"/>
            <w:r>
              <w:rPr>
                <w:rFonts w:hint="eastAsia" w:ascii="宋体" w:hAnsi="宋体" w:eastAsia="宋体" w:cs="宋体"/>
                <w:b/>
                <w:caps w:val="0"/>
                <w:spacing w:val="0"/>
                <w:kern w:val="0"/>
                <w:sz w:val="20"/>
                <w:szCs w:val="20"/>
                <w:lang w:val="en-US" w:eastAsia="zh-CN" w:bidi="ar"/>
              </w:rPr>
              <w:t>区内主要在售楼盘动态</w:t>
            </w:r>
            <w:bookmarkEnd w:id="25"/>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5334000" cy="2952750"/>
                  <wp:effectExtent l="0" t="0" r="0" b="3810"/>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5"/>
                          <a:stretch>
                            <a:fillRect/>
                          </a:stretch>
                        </pic:blipFill>
                        <pic:spPr>
                          <a:xfrm>
                            <a:off x="0" y="0"/>
                            <a:ext cx="5334000" cy="2952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pPr>
            <w:r>
              <w:rPr>
                <w:rStyle w:val="6"/>
                <w:rFonts w:hint="eastAsia" w:ascii="宋体" w:hAnsi="宋体" w:eastAsia="宋体" w:cs="宋体"/>
                <w:b/>
                <w:caps w:val="0"/>
                <w:spacing w:val="0"/>
                <w:sz w:val="20"/>
                <w:szCs w:val="20"/>
              </w:rPr>
              <w:t>   六、猇亭区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6"/>
                <w:rFonts w:hint="eastAsia" w:ascii="宋体" w:hAnsi="宋体" w:eastAsia="宋体" w:cs="宋体"/>
                <w:b/>
                <w:caps w:val="0"/>
                <w:spacing w:val="0"/>
                <w:kern w:val="0"/>
                <w:sz w:val="20"/>
                <w:szCs w:val="20"/>
                <w:lang w:val="en-US" w:eastAsia="zh-CN" w:bidi="ar"/>
              </w:rPr>
              <w:t>   区内主要在售楼盘动态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Style w:val="6"/>
                <w:rFonts w:hint="eastAsia" w:ascii="宋体" w:hAnsi="宋体" w:eastAsia="宋体" w:cs="宋体"/>
                <w:caps w:val="0"/>
                <w:spacing w:val="0"/>
                <w:kern w:val="0"/>
                <w:sz w:val="14"/>
                <w:szCs w:val="14"/>
                <w:lang w:val="en-US" w:eastAsia="zh-CN" w:bidi="ar"/>
              </w:rPr>
              <w:drawing>
                <wp:inline distT="0" distB="0" distL="114300" distR="114300">
                  <wp:extent cx="5334000" cy="2514600"/>
                  <wp:effectExtent l="0" t="0" r="0" b="0"/>
                  <wp:docPr id="2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26"/>
                          <a:stretch>
                            <a:fillRect/>
                          </a:stretch>
                        </pic:blipFill>
                        <pic:spPr>
                          <a:xfrm>
                            <a:off x="0" y="0"/>
                            <a:ext cx="5334000" cy="2514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第四部分   媒体监测</w:t>
            </w:r>
          </w:p>
          <w:p>
            <w:pPr>
              <w:pStyle w:val="3"/>
              <w:keepNext w:val="0"/>
              <w:keepLines w:val="0"/>
              <w:widowControl/>
              <w:suppressLineNumbers w:val="0"/>
              <w:spacing w:line="24" w:lineRule="atLeast"/>
            </w:pPr>
            <w:bookmarkStart w:id="26" w:name="_Toc398024665"/>
            <w:bookmarkEnd w:id="26"/>
            <w:bookmarkStart w:id="27" w:name="_Toc380050048"/>
            <w:bookmarkEnd w:id="27"/>
            <w:bookmarkStart w:id="28" w:name="_Toc353178142"/>
            <w:bookmarkEnd w:id="28"/>
            <w:bookmarkStart w:id="29" w:name="_Toc347757555"/>
            <w:bookmarkEnd w:id="29"/>
            <w:r>
              <w:rPr>
                <w:caps w:val="0"/>
                <w:spacing w:val="0"/>
              </w:rPr>
              <w:t>   </w:t>
            </w:r>
            <w:bookmarkStart w:id="30" w:name="_Toc345167239"/>
            <w:r>
              <w:rPr>
                <w:rFonts w:hint="eastAsia" w:ascii="宋体" w:hAnsi="宋体" w:eastAsia="宋体" w:cs="宋体"/>
                <w:caps w:val="0"/>
                <w:spacing w:val="0"/>
                <w:sz w:val="20"/>
                <w:szCs w:val="20"/>
              </w:rPr>
              <w:t>一、纸媒投放情况</w:t>
            </w:r>
            <w:bookmarkEnd w:id="30"/>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本月截止到31日，共有13个地产项目投放报纸广告，比上月减少1个。本月纸媒投放数量共计94篇，比上个月减少9篇，环比减少9%。</w:t>
            </w:r>
            <w:r>
              <w:rPr>
                <w:rFonts w:hint="eastAsia" w:ascii="宋体" w:hAnsi="宋体" w:eastAsia="宋体" w:cs="宋体"/>
                <w:b/>
                <w:caps w:val="0"/>
                <w:spacing w:val="0"/>
                <w:kern w:val="0"/>
                <w:sz w:val="20"/>
                <w:szCs w:val="20"/>
                <w:lang w:val="en-US" w:eastAsia="zh-CN" w:bidi="ar"/>
              </w:rPr>
              <w:t>本月广告投放量较大的主要有中建·宜昌之星、新外滩、虹桥国际公寓以及中核·半岛城邦等楼盘。</w:t>
            </w:r>
          </w:p>
          <w:p>
            <w:pPr>
              <w:pStyle w:val="3"/>
              <w:keepNext w:val="0"/>
              <w:keepLines w:val="0"/>
              <w:widowControl/>
              <w:suppressLineNumbers w:val="0"/>
              <w:spacing w:line="24" w:lineRule="atLeast"/>
            </w:pPr>
            <w:bookmarkStart w:id="31" w:name="_Toc398024666"/>
            <w:bookmarkEnd w:id="31"/>
            <w:bookmarkStart w:id="32" w:name="_Toc380050049"/>
            <w:bookmarkEnd w:id="32"/>
            <w:bookmarkStart w:id="33" w:name="_Toc353178143"/>
            <w:bookmarkEnd w:id="33"/>
            <w:bookmarkStart w:id="34" w:name="_Toc347757556"/>
            <w:bookmarkEnd w:id="34"/>
            <w:r>
              <w:rPr>
                <w:caps w:val="0"/>
                <w:spacing w:val="0"/>
              </w:rPr>
              <w:t>   </w:t>
            </w:r>
            <w:bookmarkStart w:id="35" w:name="_Toc345167240"/>
            <w:r>
              <w:rPr>
                <w:rFonts w:hint="eastAsia" w:ascii="宋体" w:hAnsi="宋体" w:eastAsia="宋体" w:cs="宋体"/>
                <w:caps w:val="0"/>
                <w:spacing w:val="0"/>
                <w:sz w:val="20"/>
                <w:szCs w:val="20"/>
              </w:rPr>
              <w:t>二、纸媒投放数据监测</w:t>
            </w:r>
            <w:bookmarkEnd w:id="35"/>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    1、报广投放时间段分析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本月投放量统计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drawing>
                <wp:inline distT="0" distB="0" distL="114300" distR="114300">
                  <wp:extent cx="2447925" cy="1466850"/>
                  <wp:effectExtent l="0" t="0" r="5715" b="11430"/>
                  <wp:docPr id="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IMG_279"/>
                          <pic:cNvPicPr>
                            <a:picLocks noChangeAspect="1"/>
                          </pic:cNvPicPr>
                        </pic:nvPicPr>
                        <pic:blipFill>
                          <a:blip r:embed="rId27"/>
                          <a:stretch>
                            <a:fillRect/>
                          </a:stretch>
                        </pic:blipFill>
                        <pic:spPr>
                          <a:xfrm>
                            <a:off x="0" y="0"/>
                            <a:ext cx="2447925" cy="146685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drawing>
                <wp:inline distT="0" distB="0" distL="114300" distR="114300">
                  <wp:extent cx="2324100" cy="1466850"/>
                  <wp:effectExtent l="0" t="0" r="7620" b="11430"/>
                  <wp:docPr id="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IMG_280"/>
                          <pic:cNvPicPr>
                            <a:picLocks noChangeAspect="1"/>
                          </pic:cNvPicPr>
                        </pic:nvPicPr>
                        <pic:blipFill>
                          <a:blip r:embed="rId28"/>
                          <a:stretch>
                            <a:fillRect/>
                          </a:stretch>
                        </pic:blipFill>
                        <pic:spPr>
                          <a:xfrm>
                            <a:off x="0" y="0"/>
                            <a:ext cx="2324100"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本月报广投放量从时间上来看，主要集中在7日、13日、14日以及28日这4个时间点，其中7日投放量达到10篇；从每周时间来看，绝大多数集中在周五，占到了32%，其次是周四，占到了20%，而周末报广投放量仅为0。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2、投放媒体及版面分析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590800" cy="1600200"/>
                  <wp:effectExtent l="0" t="0" r="0" b="0"/>
                  <wp:docPr id="3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1"/>
                          <pic:cNvPicPr>
                            <a:picLocks noChangeAspect="1"/>
                          </pic:cNvPicPr>
                        </pic:nvPicPr>
                        <pic:blipFill>
                          <a:blip r:embed="rId29"/>
                          <a:stretch>
                            <a:fillRect/>
                          </a:stretch>
                        </pic:blipFill>
                        <pic:spPr>
                          <a:xfrm>
                            <a:off x="0" y="0"/>
                            <a:ext cx="2590800" cy="1600200"/>
                          </a:xfrm>
                          <a:prstGeom prst="rect">
                            <a:avLst/>
                          </a:prstGeom>
                          <a:noFill/>
                          <a:ln w="9525">
                            <a:noFill/>
                          </a:ln>
                        </pic:spPr>
                      </pic:pic>
                    </a:graphicData>
                  </a:graphic>
                </wp:inline>
              </w:drawing>
            </w:r>
            <w:r>
              <w:rPr>
                <w:rStyle w:val="6"/>
                <w:rFonts w:hint="eastAsia" w:ascii="宋体" w:hAnsi="宋体" w:eastAsia="宋体" w:cs="宋体"/>
                <w:caps w:val="0"/>
                <w:spacing w:val="0"/>
                <w:kern w:val="0"/>
                <w:sz w:val="20"/>
                <w:szCs w:val="20"/>
                <w:lang w:val="en-US" w:eastAsia="zh-CN" w:bidi="ar"/>
              </w:rPr>
              <w:t> </w:t>
            </w:r>
            <w:r>
              <w:rPr>
                <w:rStyle w:val="6"/>
                <w:rFonts w:hint="eastAsia" w:ascii="宋体" w:hAnsi="宋体" w:eastAsia="宋体" w:cs="宋体"/>
                <w:caps w:val="0"/>
                <w:spacing w:val="0"/>
                <w:kern w:val="0"/>
                <w:sz w:val="20"/>
                <w:szCs w:val="20"/>
                <w:lang w:val="en-US" w:eastAsia="zh-CN" w:bidi="ar"/>
              </w:rPr>
              <w:drawing>
                <wp:inline distT="0" distB="0" distL="114300" distR="114300">
                  <wp:extent cx="2628900" cy="1600200"/>
                  <wp:effectExtent l="0" t="0" r="7620" b="0"/>
                  <wp:docPr id="3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82"/>
                          <pic:cNvPicPr>
                            <a:picLocks noChangeAspect="1"/>
                          </pic:cNvPicPr>
                        </pic:nvPicPr>
                        <pic:blipFill>
                          <a:blip r:embed="rId30"/>
                          <a:stretch>
                            <a:fillRect/>
                          </a:stretch>
                        </pic:blipFill>
                        <pic:spPr>
                          <a:xfrm>
                            <a:off x="0" y="0"/>
                            <a:ext cx="26289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本月三峡商报投放量位居第一，共计39篇，占纸媒总投放量的42%，三峡晚报次之，共计33篇，占纸媒总投放量的35%；投放版面主要集中在半版，共计77篇，占总投放量的82%，主要为中建·宜昌之星和中核·半岛城邦等楼盘投放；其次是报眼及横幅，共计13篇，占比14%，主要为虹桥国际公寓和新外滩等楼盘投放；本月整版广告投放量仅4篇，其中东辰雅园投放2篇，恒大绿洲和中核·半岛城邦各投放1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3、项目投放量分析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067300" cy="2257425"/>
                  <wp:effectExtent l="0" t="0" r="7620" b="13335"/>
                  <wp:docPr id="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83"/>
                          <pic:cNvPicPr>
                            <a:picLocks noChangeAspect="1"/>
                          </pic:cNvPicPr>
                        </pic:nvPicPr>
                        <pic:blipFill>
                          <a:blip r:embed="rId31"/>
                          <a:stretch>
                            <a:fillRect/>
                          </a:stretch>
                        </pic:blipFill>
                        <pic:spPr>
                          <a:xfrm>
                            <a:off x="0" y="0"/>
                            <a:ext cx="5067300" cy="2257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纸媒投放TOP 1、2、3：</w:t>
            </w:r>
            <w:r>
              <w:rPr>
                <w:rFonts w:hint="eastAsia" w:ascii="宋体" w:hAnsi="宋体" w:eastAsia="宋体" w:cs="宋体"/>
                <w:caps w:val="0"/>
                <w:spacing w:val="0"/>
                <w:kern w:val="0"/>
                <w:sz w:val="14"/>
                <w:szCs w:val="14"/>
                <w:lang w:val="en-US" w:eastAsia="zh-CN" w:bidi="ar"/>
              </w:rPr>
              <w:t>中建·宜昌之星、新外滩、虹桥国际公寓</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581275" cy="1466850"/>
                  <wp:effectExtent l="0" t="0" r="9525" b="11430"/>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32"/>
                          <a:stretch>
                            <a:fillRect/>
                          </a:stretch>
                        </pic:blipFill>
                        <pic:spPr>
                          <a:xfrm>
                            <a:off x="0" y="0"/>
                            <a:ext cx="2581275" cy="14668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400300" cy="1466850"/>
                  <wp:effectExtent l="0" t="0" r="7620" b="11430"/>
                  <wp:docPr id="2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IMG_285"/>
                          <pic:cNvPicPr>
                            <a:picLocks noChangeAspect="1"/>
                          </pic:cNvPicPr>
                        </pic:nvPicPr>
                        <pic:blipFill>
                          <a:blip r:embed="rId33"/>
                          <a:stretch>
                            <a:fillRect/>
                          </a:stretch>
                        </pic:blipFill>
                        <pic:spPr>
                          <a:xfrm>
                            <a:off x="0" y="0"/>
                            <a:ext cx="2400300"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本月</w:t>
            </w:r>
            <w:r>
              <w:rPr>
                <w:rFonts w:hint="eastAsia" w:ascii="宋体" w:hAnsi="宋体" w:eastAsia="宋体" w:cs="宋体"/>
                <w:b/>
                <w:caps w:val="0"/>
                <w:spacing w:val="0"/>
                <w:kern w:val="0"/>
                <w:sz w:val="20"/>
                <w:szCs w:val="20"/>
                <w:lang w:val="en-US" w:eastAsia="zh-CN" w:bidi="ar"/>
              </w:rPr>
              <w:t>中建·宜昌之星投放报广61篇，主要刊登8月8日冰雪节活动以及9月5日的开盘信息；</w:t>
            </w:r>
            <w:r>
              <w:rPr>
                <w:rFonts w:hint="eastAsia" w:ascii="宋体" w:hAnsi="宋体" w:eastAsia="宋体" w:cs="宋体"/>
                <w:caps w:val="0"/>
                <w:spacing w:val="0"/>
                <w:kern w:val="0"/>
                <w:sz w:val="20"/>
                <w:szCs w:val="20"/>
                <w:lang w:val="en-US" w:eastAsia="zh-CN" w:bidi="ar"/>
              </w:rPr>
              <w:t>新外滩投放报广6篇，主要宣传现房清盘特惠信息；虹桥国际公寓投放报广6篇，主要宣传购房送中央空调的信息。</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纸媒投放TOP 4、5、6：</w:t>
            </w:r>
            <w:r>
              <w:rPr>
                <w:rFonts w:hint="eastAsia" w:ascii="宋体" w:hAnsi="宋体" w:eastAsia="宋体" w:cs="宋体"/>
                <w:caps w:val="0"/>
                <w:spacing w:val="0"/>
                <w:kern w:val="0"/>
                <w:sz w:val="20"/>
                <w:szCs w:val="20"/>
                <w:lang w:val="en-US" w:eastAsia="zh-CN" w:bidi="ar"/>
              </w:rPr>
              <w:t>中核·半岛城邦、恒大绿洲、恒大帝景</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447925" cy="1333500"/>
                  <wp:effectExtent l="0" t="0" r="5715" b="7620"/>
                  <wp:docPr id="2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IMG_286"/>
                          <pic:cNvPicPr>
                            <a:picLocks noChangeAspect="1"/>
                          </pic:cNvPicPr>
                        </pic:nvPicPr>
                        <pic:blipFill>
                          <a:blip r:embed="rId34"/>
                          <a:stretch>
                            <a:fillRect/>
                          </a:stretch>
                        </pic:blipFill>
                        <pic:spPr>
                          <a:xfrm>
                            <a:off x="0" y="0"/>
                            <a:ext cx="2447925" cy="13335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933575" cy="1333500"/>
                  <wp:effectExtent l="0" t="0" r="1905" b="7620"/>
                  <wp:docPr id="2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87"/>
                          <pic:cNvPicPr>
                            <a:picLocks noChangeAspect="1"/>
                          </pic:cNvPicPr>
                        </pic:nvPicPr>
                        <pic:blipFill>
                          <a:blip r:embed="rId35"/>
                          <a:stretch>
                            <a:fillRect/>
                          </a:stretch>
                        </pic:blipFill>
                        <pic:spPr>
                          <a:xfrm>
                            <a:off x="0" y="0"/>
                            <a:ext cx="1933575" cy="1333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w:t>
            </w:r>
            <w:r>
              <w:rPr>
                <w:rFonts w:hint="eastAsia" w:ascii="宋体" w:hAnsi="宋体" w:eastAsia="宋体" w:cs="宋体"/>
                <w:b/>
                <w:caps w:val="0"/>
                <w:spacing w:val="0"/>
                <w:kern w:val="0"/>
                <w:sz w:val="20"/>
                <w:szCs w:val="20"/>
                <w:lang w:val="en-US" w:eastAsia="zh-CN" w:bidi="ar"/>
              </w:rPr>
              <w:t>中核·半岛城邦投放报广5篇，主要刊登8月8日营销中心开放同时启动认筹2千抵2万</w:t>
            </w:r>
            <w:r>
              <w:rPr>
                <w:rFonts w:hint="eastAsia" w:ascii="宋体" w:hAnsi="宋体" w:eastAsia="宋体" w:cs="宋体"/>
                <w:caps w:val="0"/>
                <w:spacing w:val="0"/>
                <w:kern w:val="0"/>
                <w:sz w:val="20"/>
                <w:szCs w:val="20"/>
                <w:lang w:val="en-US" w:eastAsia="zh-CN" w:bidi="ar"/>
              </w:rPr>
              <w:t>的信息；恒大绿洲投放报广3篇，主要宣传购房送家私的信息；恒大帝景投放报广3篇，</w:t>
            </w:r>
            <w:bookmarkStart w:id="36" w:name="_Toc380050050"/>
            <w:r>
              <w:rPr>
                <w:rFonts w:hint="eastAsia" w:ascii="宋体" w:hAnsi="宋体" w:eastAsia="宋体" w:cs="宋体"/>
                <w:caps w:val="0"/>
                <w:spacing w:val="0"/>
                <w:kern w:val="0"/>
                <w:sz w:val="20"/>
                <w:szCs w:val="20"/>
                <w:lang w:val="en-US" w:eastAsia="zh-CN" w:bidi="ar"/>
              </w:rPr>
              <w:t>主要</w:t>
            </w:r>
            <w:bookmarkEnd w:id="36"/>
            <w:bookmarkStart w:id="37" w:name="_Toc398024667"/>
            <w:bookmarkEnd w:id="37"/>
            <w:bookmarkStart w:id="38" w:name="_Toc384796975"/>
            <w:r>
              <w:rPr>
                <w:rFonts w:hint="eastAsia" w:ascii="宋体" w:hAnsi="宋体" w:eastAsia="宋体" w:cs="宋体"/>
                <w:caps w:val="0"/>
                <w:spacing w:val="0"/>
                <w:kern w:val="0"/>
                <w:sz w:val="20"/>
                <w:szCs w:val="20"/>
                <w:lang w:val="en-US" w:eastAsia="zh-CN" w:bidi="ar"/>
              </w:rPr>
              <w:t>刊登形象广告及销售信息。</w:t>
            </w:r>
            <w:bookmarkEnd w:id="38"/>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三、网络媒体监测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39" w:name="_Toc380050051"/>
            <w:r>
              <w:rPr>
                <w:rFonts w:hint="eastAsia" w:ascii="宋体" w:hAnsi="宋体" w:eastAsia="宋体" w:cs="宋体"/>
                <w:b/>
                <w:caps w:val="0"/>
                <w:spacing w:val="0"/>
                <w:kern w:val="0"/>
                <w:sz w:val="20"/>
                <w:szCs w:val="20"/>
                <w:lang w:val="en-US" w:eastAsia="zh-CN" w:bidi="ar"/>
              </w:rPr>
              <w:t>1</w:t>
            </w:r>
            <w:bookmarkEnd w:id="39"/>
            <w:r>
              <w:rPr>
                <w:rFonts w:hint="eastAsia" w:ascii="宋体" w:hAnsi="宋体" w:eastAsia="宋体" w:cs="宋体"/>
                <w:b/>
                <w:caps w:val="0"/>
                <w:spacing w:val="0"/>
                <w:kern w:val="0"/>
                <w:sz w:val="20"/>
                <w:szCs w:val="20"/>
                <w:lang w:val="en-US" w:eastAsia="zh-CN" w:bidi="ar"/>
              </w:rPr>
              <w:t>、搜房网</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bookmarkStart w:id="40" w:name="_Toc380050052"/>
            <w:r>
              <w:rPr>
                <w:rFonts w:hint="eastAsia" w:ascii="宋体" w:hAnsi="宋体" w:eastAsia="宋体" w:cs="宋体"/>
                <w:caps w:val="0"/>
                <w:spacing w:val="0"/>
                <w:kern w:val="0"/>
                <w:sz w:val="20"/>
                <w:szCs w:val="20"/>
                <w:lang w:val="en-US" w:eastAsia="zh-CN" w:bidi="ar"/>
              </w:rPr>
              <w:t>本月在搜房网投放广告的主要有中核半岛城邦、清江尚玲珑、春华星运城、华鹏梧桐邑以及中建·宜昌之星等楼盘。</w:t>
            </w:r>
            <w:bookmarkEnd w:id="40"/>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1781175"/>
                  <wp:effectExtent l="0" t="0" r="0" b="1905"/>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5334000" cy="17811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2、搜狐焦点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41" w:name="_Toc380050054"/>
            <w:r>
              <w:rPr>
                <w:rFonts w:hint="eastAsia" w:ascii="宋体" w:hAnsi="宋体" w:eastAsia="宋体" w:cs="宋体"/>
                <w:caps w:val="0"/>
                <w:spacing w:val="0"/>
                <w:kern w:val="0"/>
                <w:sz w:val="20"/>
                <w:szCs w:val="20"/>
                <w:lang w:val="en-US" w:eastAsia="zh-CN" w:bidi="ar"/>
              </w:rPr>
              <w:t>本月在搜狐焦点投放广告的主要有宜化巴黎香颂、中核半岛城邦以及宜化新天地等</w:t>
            </w:r>
            <w:bookmarkEnd w:id="41"/>
            <w:r>
              <w:rPr>
                <w:rFonts w:hint="eastAsia" w:ascii="宋体" w:hAnsi="宋体" w:eastAsia="宋体" w:cs="宋体"/>
                <w:caps w:val="0"/>
                <w:spacing w:val="0"/>
                <w:kern w:val="0"/>
                <w:sz w:val="20"/>
                <w:szCs w:val="20"/>
                <w:lang w:val="en-US" w:eastAsia="zh-CN" w:bidi="ar"/>
              </w:rPr>
              <w:t>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209675"/>
                  <wp:effectExtent l="0" t="0" r="0" b="9525"/>
                  <wp:docPr id="2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IMG_289"/>
                          <pic:cNvPicPr>
                            <a:picLocks noChangeAspect="1"/>
                          </pic:cNvPicPr>
                        </pic:nvPicPr>
                        <pic:blipFill>
                          <a:blip r:embed="rId37"/>
                          <a:stretch>
                            <a:fillRect/>
                          </a:stretch>
                        </pic:blipFill>
                        <pic:spPr>
                          <a:xfrm>
                            <a:off x="0" y="0"/>
                            <a:ext cx="5334000" cy="12096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42" w:name="_Toc380050055"/>
            <w:r>
              <w:rPr>
                <w:rFonts w:hint="eastAsia" w:ascii="宋体" w:hAnsi="宋体" w:eastAsia="宋体" w:cs="宋体"/>
                <w:b/>
                <w:caps w:val="0"/>
                <w:spacing w:val="0"/>
                <w:kern w:val="0"/>
                <w:sz w:val="20"/>
                <w:szCs w:val="20"/>
                <w:lang w:val="en-US" w:eastAsia="zh-CN" w:bidi="ar"/>
              </w:rPr>
              <w:t>3</w:t>
            </w:r>
            <w:bookmarkEnd w:id="42"/>
            <w:r>
              <w:rPr>
                <w:rFonts w:hint="eastAsia" w:ascii="宋体" w:hAnsi="宋体" w:eastAsia="宋体" w:cs="宋体"/>
                <w:b/>
                <w:caps w:val="0"/>
                <w:spacing w:val="0"/>
                <w:kern w:val="0"/>
                <w:sz w:val="20"/>
                <w:szCs w:val="20"/>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43" w:name="_Toc380050056"/>
            <w:r>
              <w:rPr>
                <w:rFonts w:hint="eastAsia" w:ascii="宋体" w:hAnsi="宋体" w:eastAsia="宋体" w:cs="宋体"/>
                <w:caps w:val="0"/>
                <w:spacing w:val="0"/>
                <w:kern w:val="0"/>
                <w:sz w:val="20"/>
                <w:szCs w:val="20"/>
                <w:lang w:val="en-US" w:eastAsia="zh-CN" w:bidi="ar"/>
              </w:rPr>
              <w:t>本月在大楚网投放广告的主要有</w:t>
            </w:r>
            <w:bookmarkEnd w:id="43"/>
            <w:r>
              <w:rPr>
                <w:rFonts w:hint="eastAsia" w:ascii="宋体" w:hAnsi="宋体" w:eastAsia="宋体" w:cs="宋体"/>
                <w:caps w:val="0"/>
                <w:spacing w:val="0"/>
                <w:kern w:val="0"/>
                <w:sz w:val="20"/>
                <w:szCs w:val="20"/>
                <w:lang w:val="en-US" w:eastAsia="zh-CN" w:bidi="ar"/>
              </w:rPr>
              <w:t>城中半岛、城中金谷、国宾壹号、恒大帝景以及宜化巴黎香颂等楼盘。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704975"/>
                  <wp:effectExtent l="0" t="0" r="0" b="1905"/>
                  <wp:docPr id="3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IMG_290"/>
                          <pic:cNvPicPr>
                            <a:picLocks noChangeAspect="1"/>
                          </pic:cNvPicPr>
                        </pic:nvPicPr>
                        <pic:blipFill>
                          <a:blip r:embed="rId38"/>
                          <a:stretch>
                            <a:fillRect/>
                          </a:stretch>
                        </pic:blipFill>
                        <pic:spPr>
                          <a:xfrm>
                            <a:off x="0" y="0"/>
                            <a:ext cx="5334000" cy="1704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4、新浪网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本月在新浪网投放广告的主要有宜化巴黎香颂、中核半岛城邦、宜化新天地、新外滩、山水华庭以及东郡等楼盘。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2457450"/>
                  <wp:effectExtent l="0" t="0" r="0" b="11430"/>
                  <wp:docPr id="3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descr="IMG_291"/>
                          <pic:cNvPicPr>
                            <a:picLocks noChangeAspect="1"/>
                          </pic:cNvPicPr>
                        </pic:nvPicPr>
                        <pic:blipFill>
                          <a:blip r:embed="rId39"/>
                          <a:stretch>
                            <a:fillRect/>
                          </a:stretch>
                        </pic:blipFill>
                        <pic:spPr>
                          <a:xfrm>
                            <a:off x="0" y="0"/>
                            <a:ext cx="5334000" cy="2457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本月网络媒体投放情况：在搜房网上投放广告的有5个；在搜狐焦点网上投放广告的有3个；在大楚网上投放广告的有5个；在新浪网上投放广告的有6个。其中投放广告最多的为</w:t>
            </w:r>
            <w:r>
              <w:rPr>
                <w:rFonts w:hint="eastAsia" w:ascii="宋体" w:hAnsi="宋体" w:eastAsia="宋体" w:cs="宋体"/>
                <w:b/>
                <w:caps w:val="0"/>
                <w:spacing w:val="0"/>
                <w:kern w:val="0"/>
                <w:sz w:val="20"/>
                <w:szCs w:val="20"/>
                <w:lang w:val="en-US" w:eastAsia="zh-CN" w:bidi="ar"/>
              </w:rPr>
              <w:t>中核半岛城邦，主要宣传8月8日营销中心开放同时启动认筹2千抵2万</w:t>
            </w:r>
            <w:r>
              <w:rPr>
                <w:rFonts w:hint="eastAsia" w:ascii="宋体" w:hAnsi="宋体" w:eastAsia="宋体" w:cs="宋体"/>
                <w:caps w:val="0"/>
                <w:spacing w:val="0"/>
                <w:kern w:val="0"/>
                <w:sz w:val="20"/>
                <w:szCs w:val="20"/>
                <w:lang w:val="en-US" w:eastAsia="zh-CN" w:bidi="ar"/>
              </w:rPr>
              <w:t>的信息；其次是宜化巴黎香颂，主要宣传销售信息；宜化新天地主要宣传准现房优惠信息。</w:t>
            </w:r>
            <w:r>
              <w:rPr>
                <w:rFonts w:hint="eastAsia" w:ascii="宋体" w:hAnsi="宋体" w:eastAsia="宋体" w:cs="宋体"/>
                <w:b/>
                <w:caps w:val="0"/>
                <w:spacing w:val="0"/>
                <w:kern w:val="0"/>
                <w:sz w:val="20"/>
                <w:szCs w:val="20"/>
                <w:lang w:val="en-US" w:eastAsia="zh-CN" w:bidi="ar"/>
              </w:rPr>
              <w:t>本月网络媒体房产广告最新动态主要为中核半岛城邦营销中心开放和中建宜昌之星开盘倒计时。</w:t>
            </w:r>
          </w:p>
        </w:tc>
      </w:tr>
    </w:tbl>
    <w:p>
      <w:pPr>
        <w:rPr>
          <w:vanish/>
          <w:sz w:val="24"/>
          <w:szCs w:val="24"/>
        </w:rPr>
      </w:pPr>
    </w:p>
    <w:tbl>
      <w:tblPr>
        <w:tblW w:w="7212" w:type="dxa"/>
        <w:jc w:val="center"/>
        <w:tblCellSpacing w:w="0" w:type="dxa"/>
        <w:tblInd w:w="547" w:type="dxa"/>
        <w:shd w:val="clear" w:color="auto" w:fill="FFFFFF"/>
        <w:tblLayout w:type="fixed"/>
        <w:tblCellMar>
          <w:top w:w="0" w:type="dxa"/>
          <w:left w:w="0" w:type="dxa"/>
          <w:bottom w:w="0" w:type="dxa"/>
          <w:right w:w="0" w:type="dxa"/>
        </w:tblCellMar>
      </w:tblPr>
      <w:tblGrid>
        <w:gridCol w:w="7212"/>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7212" w:type="dxa"/>
            <w:shd w:val="clear" w:color="auto" w:fill="FFFFFF"/>
            <w:vAlign w:val="center"/>
          </w:tcPr>
          <w:p>
            <w:pPr>
              <w:keepNext w:val="0"/>
              <w:keepLines w:val="0"/>
              <w:widowControl/>
              <w:suppressLineNumbers w:val="0"/>
              <w:spacing w:line="19" w:lineRule="atLeast"/>
              <w:ind w:left="0" w:firstLine="0"/>
              <w:jc w:val="left"/>
              <w:rPr>
                <w:rFonts w:hint="eastAsia" w:ascii="宋体" w:hAnsi="宋体" w:eastAsia="宋体" w:cs="宋体"/>
                <w:caps w:val="0"/>
                <w:spacing w:val="0"/>
                <w:sz w:val="16"/>
                <w:szCs w:val="16"/>
              </w:rPr>
            </w:pPr>
            <w:r>
              <w:rPr>
                <w:rFonts w:hint="eastAsia" w:ascii="宋体" w:hAnsi="宋体" w:eastAsia="宋体" w:cs="宋体"/>
                <w:caps w:val="0"/>
                <w:spacing w:val="0"/>
                <w:kern w:val="0"/>
                <w:sz w:val="16"/>
                <w:szCs w:val="16"/>
                <w:lang w:val="en-US" w:eastAsia="zh-CN" w:bidi="ar"/>
              </w:rPr>
              <w:t> </w:t>
            </w:r>
          </w:p>
        </w:tc>
      </w:tr>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7212"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color w:val="82683E"/>
                <w:spacing w:val="0"/>
                <w:sz w:val="14"/>
                <w:szCs w:val="14"/>
              </w:rPr>
            </w:pPr>
            <w:r>
              <w:rPr>
                <w:rFonts w:hint="eastAsia" w:ascii="宋体" w:hAnsi="宋体" w:eastAsia="宋体" w:cs="宋体"/>
                <w:caps w:val="0"/>
                <w:color w:val="82683E"/>
                <w:spacing w:val="0"/>
                <w:kern w:val="0"/>
                <w:sz w:val="14"/>
                <w:szCs w:val="14"/>
                <w:lang w:val="en-US" w:eastAsia="zh-CN" w:bidi="ar"/>
              </w:rPr>
              <w:t>  </w:t>
            </w:r>
            <w:r>
              <w:rPr>
                <w:rFonts w:hint="eastAsia" w:ascii="宋体" w:hAnsi="宋体" w:eastAsia="宋体" w:cs="宋体"/>
                <w:b/>
                <w:caps w:val="0"/>
                <w:color w:val="82683E"/>
                <w:spacing w:val="0"/>
                <w:kern w:val="0"/>
                <w:sz w:val="14"/>
                <w:szCs w:val="14"/>
                <w:lang w:val="en-US" w:eastAsia="zh-CN" w:bidi="ar"/>
              </w:rPr>
              <w:t>上一篇</w:t>
            </w:r>
            <w:r>
              <w:rPr>
                <w:rFonts w:hint="eastAsia" w:ascii="宋体" w:hAnsi="宋体" w:eastAsia="宋体" w:cs="宋体"/>
                <w:caps w:val="0"/>
                <w:color w:val="82683E"/>
                <w:spacing w:val="0"/>
                <w:kern w:val="0"/>
                <w:sz w:val="14"/>
                <w:szCs w:val="14"/>
                <w:lang w:val="en-US" w:eastAsia="zh-CN" w:bidi="ar"/>
              </w:rPr>
              <w:t>：</w:t>
            </w:r>
            <w:r>
              <w:rPr>
                <w:rFonts w:hint="eastAsia" w:ascii="宋体" w:hAnsi="宋体" w:eastAsia="宋体" w:cs="宋体"/>
                <w:caps w:val="0"/>
                <w:color w:val="000000"/>
                <w:spacing w:val="0"/>
                <w:kern w:val="0"/>
                <w:sz w:val="14"/>
                <w:szCs w:val="14"/>
                <w:u w:val="single"/>
                <w:lang w:val="en-US" w:eastAsia="zh-CN" w:bidi="ar"/>
              </w:rPr>
              <w:fldChar w:fldCharType="begin"/>
            </w:r>
            <w:r>
              <w:rPr>
                <w:rFonts w:hint="eastAsia" w:ascii="宋体" w:hAnsi="宋体" w:eastAsia="宋体" w:cs="宋体"/>
                <w:caps w:val="0"/>
                <w:color w:val="000000"/>
                <w:spacing w:val="0"/>
                <w:kern w:val="0"/>
                <w:sz w:val="14"/>
                <w:szCs w:val="14"/>
                <w:u w:val="single"/>
                <w:lang w:val="en-US" w:eastAsia="zh-CN" w:bidi="ar"/>
              </w:rPr>
              <w:instrText xml:space="preserve"> HYPERLINK "http://www.zbxydc.com/news_info.asp?n_id=572" </w:instrText>
            </w:r>
            <w:r>
              <w:rPr>
                <w:rFonts w:hint="eastAsia" w:ascii="宋体" w:hAnsi="宋体" w:eastAsia="宋体" w:cs="宋体"/>
                <w:caps w:val="0"/>
                <w:color w:val="000000"/>
                <w:spacing w:val="0"/>
                <w:kern w:val="0"/>
                <w:sz w:val="14"/>
                <w:szCs w:val="14"/>
                <w:u w:val="single"/>
                <w:lang w:val="en-US" w:eastAsia="zh-CN" w:bidi="ar"/>
              </w:rPr>
              <w:fldChar w:fldCharType="separate"/>
            </w:r>
            <w:r>
              <w:rPr>
                <w:rStyle w:val="7"/>
                <w:rFonts w:hint="eastAsia" w:ascii="宋体" w:hAnsi="宋体" w:eastAsia="宋体" w:cs="宋体"/>
                <w:caps w:val="0"/>
                <w:color w:val="000000"/>
                <w:spacing w:val="0"/>
                <w:sz w:val="14"/>
                <w:szCs w:val="14"/>
                <w:u w:val="single"/>
              </w:rPr>
              <w:t>2018年宜昌房地产市场年报</w:t>
            </w:r>
            <w:r>
              <w:rPr>
                <w:rFonts w:hint="eastAsia" w:ascii="宋体" w:hAnsi="宋体" w:eastAsia="宋体" w:cs="宋体"/>
                <w:caps w:val="0"/>
                <w:color w:val="000000"/>
                <w:spacing w:val="0"/>
                <w:kern w:val="0"/>
                <w:sz w:val="14"/>
                <w:szCs w:val="14"/>
                <w:u w:val="single"/>
                <w:lang w:val="en-US" w:eastAsia="zh-CN" w:bidi="ar"/>
              </w:rPr>
              <w:fldChar w:fldCharType="end"/>
            </w:r>
          </w:p>
        </w:tc>
      </w:tr>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7212"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color w:val="82683E"/>
                <w:spacing w:val="0"/>
                <w:sz w:val="14"/>
                <w:szCs w:val="14"/>
              </w:rPr>
            </w:pPr>
            <w:r>
              <w:rPr>
                <w:rFonts w:hint="eastAsia" w:ascii="宋体" w:hAnsi="宋体" w:eastAsia="宋体" w:cs="宋体"/>
                <w:caps w:val="0"/>
                <w:color w:val="82683E"/>
                <w:spacing w:val="0"/>
                <w:kern w:val="0"/>
                <w:sz w:val="14"/>
                <w:szCs w:val="14"/>
                <w:lang w:val="en-US" w:eastAsia="zh-CN" w:bidi="ar"/>
              </w:rPr>
              <w:t>  </w:t>
            </w:r>
            <w:r>
              <w:rPr>
                <w:rFonts w:hint="eastAsia" w:ascii="宋体" w:hAnsi="宋体" w:eastAsia="宋体" w:cs="宋体"/>
                <w:b/>
                <w:caps w:val="0"/>
                <w:color w:val="82683E"/>
                <w:spacing w:val="0"/>
                <w:kern w:val="0"/>
                <w:sz w:val="14"/>
                <w:szCs w:val="14"/>
                <w:lang w:val="en-US" w:eastAsia="zh-CN" w:bidi="ar"/>
              </w:rPr>
              <w:t>下一篇</w:t>
            </w:r>
            <w:r>
              <w:rPr>
                <w:rFonts w:hint="eastAsia" w:ascii="宋体" w:hAnsi="宋体" w:eastAsia="宋体" w:cs="宋体"/>
                <w:caps w:val="0"/>
                <w:color w:val="82683E"/>
                <w:spacing w:val="0"/>
                <w:kern w:val="0"/>
                <w:sz w:val="14"/>
                <w:szCs w:val="14"/>
                <w:lang w:val="en-US" w:eastAsia="zh-CN" w:bidi="ar"/>
              </w:rPr>
              <w:t>：</w:t>
            </w:r>
            <w:r>
              <w:rPr>
                <w:rFonts w:hint="eastAsia" w:ascii="宋体" w:hAnsi="宋体" w:eastAsia="宋体" w:cs="宋体"/>
                <w:caps w:val="0"/>
                <w:color w:val="000000"/>
                <w:spacing w:val="0"/>
                <w:kern w:val="0"/>
                <w:sz w:val="14"/>
                <w:szCs w:val="14"/>
                <w:u w:val="single"/>
                <w:lang w:val="en-US" w:eastAsia="zh-CN" w:bidi="ar"/>
              </w:rPr>
              <w:fldChar w:fldCharType="begin"/>
            </w:r>
            <w:r>
              <w:rPr>
                <w:rFonts w:hint="eastAsia" w:ascii="宋体" w:hAnsi="宋体" w:eastAsia="宋体" w:cs="宋体"/>
                <w:caps w:val="0"/>
                <w:color w:val="000000"/>
                <w:spacing w:val="0"/>
                <w:kern w:val="0"/>
                <w:sz w:val="14"/>
                <w:szCs w:val="14"/>
                <w:u w:val="single"/>
                <w:lang w:val="en-US" w:eastAsia="zh-CN" w:bidi="ar"/>
              </w:rPr>
              <w:instrText xml:space="preserve"> HYPERLINK "http://www.zbxydc.com/news_info.asp?n_id=491" </w:instrText>
            </w:r>
            <w:r>
              <w:rPr>
                <w:rFonts w:hint="eastAsia" w:ascii="宋体" w:hAnsi="宋体" w:eastAsia="宋体" w:cs="宋体"/>
                <w:caps w:val="0"/>
                <w:color w:val="000000"/>
                <w:spacing w:val="0"/>
                <w:kern w:val="0"/>
                <w:sz w:val="14"/>
                <w:szCs w:val="14"/>
                <w:u w:val="single"/>
                <w:lang w:val="en-US" w:eastAsia="zh-CN" w:bidi="ar"/>
              </w:rPr>
              <w:fldChar w:fldCharType="separate"/>
            </w:r>
            <w:r>
              <w:rPr>
                <w:rStyle w:val="7"/>
                <w:rFonts w:hint="eastAsia" w:ascii="宋体" w:hAnsi="宋体" w:eastAsia="宋体" w:cs="宋体"/>
                <w:caps w:val="0"/>
                <w:color w:val="000000"/>
                <w:spacing w:val="0"/>
                <w:sz w:val="14"/>
                <w:szCs w:val="14"/>
                <w:u w:val="single"/>
              </w:rPr>
              <w:t>2015年7月宜昌市城区房地产市场分析报告</w:t>
            </w:r>
            <w:r>
              <w:rPr>
                <w:rFonts w:hint="eastAsia" w:ascii="宋体" w:hAnsi="宋体" w:eastAsia="宋体" w:cs="宋体"/>
                <w:caps w:val="0"/>
                <w:color w:val="000000"/>
                <w:spacing w:val="0"/>
                <w:kern w:val="0"/>
                <w:sz w:val="14"/>
                <w:szCs w:val="14"/>
                <w:u w:val="single"/>
                <w:lang w:val="en-US" w:eastAsia="zh-CN" w:bidi="ar"/>
              </w:rPr>
              <w:fldChar w:fldCharType="end"/>
            </w:r>
          </w:p>
        </w:tc>
      </w:tr>
    </w:tbl>
    <w:p>
      <w:bookmarkStart w:id="44" w:name="_GoBack"/>
      <w:bookmarkEnd w:id="4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BD42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2019-09-30T03:45:06Z</dcterms:created>
  <dc:creator>HP</dc:creator>
  <cp:lastModifiedBy>joke</cp:lastModifiedBy>
  <dcterms:modified xsi:type="dcterms:W3CDTF">2019-09-30T03:45:21Z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