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W w:w="8208" w:type="dxa"/>
        <w:jc w:val="center"/>
        <w:tblCellSpacing w:w="0" w:type="dxa"/>
        <w:tblInd w:w="49" w:type="dxa"/>
        <w:shd w:val="clear" w:color="auto" w:fill="FFFFFF"/>
        <w:tblLayout w:type="fixed"/>
        <w:tblCellMar>
          <w:top w:w="132" w:type="dxa"/>
          <w:left w:w="0" w:type="dxa"/>
          <w:bottom w:w="0" w:type="dxa"/>
          <w:right w:w="0" w:type="dxa"/>
        </w:tblCellMar>
      </w:tblPr>
      <w:tblGrid>
        <w:gridCol w:w="8208"/>
      </w:tblGrid>
      <w:tr>
        <w:tblPrEx>
          <w:tblLayout w:type="fixed"/>
          <w:tblCellMar>
            <w:top w:w="132" w:type="dxa"/>
            <w:left w:w="0" w:type="dxa"/>
            <w:bottom w:w="0" w:type="dxa"/>
            <w:right w:w="0" w:type="dxa"/>
          </w:tblCellMar>
        </w:tblPrEx>
        <w:trPr>
          <w:trHeight w:val="420" w:hRule="atLeast"/>
          <w:tblCellSpacing w:w="0" w:type="dxa"/>
          <w:jc w:val="center"/>
        </w:trPr>
        <w:tc>
          <w:tcPr>
            <w:tcW w:w="8208" w:type="dxa"/>
            <w:shd w:val="clear" w:color="auto" w:fill="FFFFFF"/>
            <w:vAlign w:val="center"/>
          </w:tcPr>
          <w:p>
            <w:pPr>
              <w:keepNext w:val="0"/>
              <w:keepLines w:val="0"/>
              <w:widowControl/>
              <w:suppressLineNumbers w:val="0"/>
              <w:ind w:left="0" w:firstLine="0"/>
              <w:jc w:val="center"/>
              <w:rPr>
                <w:rFonts w:hint="eastAsia" w:ascii="宋体" w:hAnsi="宋体" w:eastAsia="宋体" w:cs="宋体"/>
                <w:b/>
                <w:caps w:val="0"/>
                <w:color w:val="D00000"/>
                <w:spacing w:val="0"/>
                <w:sz w:val="16"/>
                <w:szCs w:val="16"/>
              </w:rPr>
            </w:pPr>
            <w:r>
              <w:rPr>
                <w:rFonts w:hint="eastAsia" w:ascii="宋体" w:hAnsi="宋体" w:eastAsia="宋体" w:cs="宋体"/>
                <w:b/>
                <w:caps w:val="0"/>
                <w:color w:val="D00000"/>
                <w:spacing w:val="0"/>
                <w:kern w:val="0"/>
                <w:sz w:val="16"/>
                <w:szCs w:val="16"/>
                <w:lang w:val="en-US" w:eastAsia="zh-CN" w:bidi="ar"/>
              </w:rPr>
              <w:t>2015年7月宜昌市城区房地产市场分析报告</w:t>
            </w:r>
          </w:p>
        </w:tc>
      </w:tr>
      <w:tr>
        <w:tblPrEx>
          <w:shd w:val="clear" w:color="auto" w:fill="FFFFFF"/>
          <w:tblLayout w:type="fixed"/>
          <w:tblCellMar>
            <w:top w:w="132" w:type="dxa"/>
            <w:left w:w="0" w:type="dxa"/>
            <w:bottom w:w="0" w:type="dxa"/>
            <w:right w:w="0" w:type="dxa"/>
          </w:tblCellMar>
        </w:tblPrEx>
        <w:trPr>
          <w:trHeight w:val="301" w:hRule="atLeast"/>
          <w:tblCellSpacing w:w="0" w:type="dxa"/>
          <w:jc w:val="center"/>
        </w:trPr>
        <w:tc>
          <w:tcPr>
            <w:tcW w:w="8208" w:type="dxa"/>
            <w:shd w:val="clear" w:color="auto" w:fill="FFFFFF"/>
            <w:vAlign w:val="center"/>
          </w:tcPr>
          <w:p>
            <w:pPr>
              <w:keepNext w:val="0"/>
              <w:keepLines w:val="0"/>
              <w:widowControl/>
              <w:suppressLineNumbers w:val="0"/>
              <w:ind w:left="0" w:firstLine="0"/>
              <w:jc w:val="center"/>
              <w:rPr>
                <w:rFonts w:hint="eastAsia" w:ascii="宋体" w:hAnsi="宋体" w:eastAsia="宋体" w:cs="宋体"/>
                <w:caps w:val="0"/>
                <w:color w:val="6C5239"/>
                <w:spacing w:val="0"/>
                <w:sz w:val="14"/>
                <w:szCs w:val="14"/>
              </w:rPr>
            </w:pPr>
            <w:r>
              <w:rPr>
                <w:rFonts w:hint="eastAsia" w:ascii="宋体" w:hAnsi="宋体" w:eastAsia="宋体" w:cs="宋体"/>
                <w:caps w:val="0"/>
                <w:color w:val="6C5239"/>
                <w:spacing w:val="0"/>
                <w:kern w:val="0"/>
                <w:sz w:val="14"/>
                <w:szCs w:val="14"/>
                <w:lang w:val="en-US" w:eastAsia="zh-CN" w:bidi="ar"/>
              </w:rPr>
              <w:t>发布时间：8/19/2015 2:55:06 PM 浏览：2554</w:t>
            </w:r>
          </w:p>
        </w:tc>
      </w:tr>
    </w:tbl>
    <w:p>
      <w:pPr>
        <w:rPr>
          <w:vanish/>
          <w:sz w:val="24"/>
          <w:szCs w:val="24"/>
        </w:rPr>
      </w:pPr>
    </w:p>
    <w:tbl>
      <w:tblPr>
        <w:tblW w:w="8306" w:type="dxa"/>
        <w:tblCellSpacing w:w="0" w:type="dxa"/>
        <w:tblInd w:w="0" w:type="dxa"/>
        <w:shd w:val="clear" w:color="auto" w:fill="FFFFFF"/>
        <w:tblLayout w:type="fixed"/>
        <w:tblCellMar>
          <w:top w:w="0" w:type="dxa"/>
          <w:left w:w="0" w:type="dxa"/>
          <w:bottom w:w="0" w:type="dxa"/>
          <w:right w:w="0" w:type="dxa"/>
        </w:tblCellMar>
      </w:tblPr>
      <w:tblGrid>
        <w:gridCol w:w="4153"/>
        <w:gridCol w:w="4153"/>
      </w:tblGrid>
      <w:tr>
        <w:tblPrEx>
          <w:shd w:val="clear" w:color="auto" w:fill="FFFFFF"/>
          <w:tblLayout w:type="fixed"/>
          <w:tblCellMar>
            <w:top w:w="0" w:type="dxa"/>
            <w:left w:w="0" w:type="dxa"/>
            <w:bottom w:w="0" w:type="dxa"/>
            <w:right w:w="0" w:type="dxa"/>
          </w:tblCellMar>
        </w:tblPrEx>
        <w:trPr>
          <w:tblCellSpacing w:w="0" w:type="dxa"/>
        </w:trPr>
        <w:tc>
          <w:tcPr>
            <w:tcW w:w="4153" w:type="dxa"/>
            <w:shd w:val="clear" w:color="auto" w:fill="FFFFFF"/>
            <w:vAlign w:val="center"/>
          </w:tcPr>
          <w:p>
            <w:pPr>
              <w:keepNext w:val="0"/>
              <w:keepLines w:val="0"/>
              <w:widowControl/>
              <w:suppressLineNumbers w:val="0"/>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tc>
        <w:tc>
          <w:tcPr>
            <w:tcW w:w="4153" w:type="dxa"/>
            <w:shd w:val="clear" w:color="auto" w:fill="FFFFFF"/>
            <w:vAlign w:val="center"/>
          </w:tcPr>
          <w:p>
            <w:pPr>
              <w:keepNext w:val="0"/>
              <w:keepLines w:val="0"/>
              <w:widowControl/>
              <w:suppressLineNumbers w:val="0"/>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tc>
      </w:tr>
    </w:tbl>
    <w:p>
      <w:pPr>
        <w:rPr>
          <w:vanish/>
          <w:sz w:val="24"/>
          <w:szCs w:val="24"/>
        </w:rPr>
      </w:pPr>
    </w:p>
    <w:tbl>
      <w:tblPr>
        <w:tblW w:w="8306" w:type="dxa"/>
        <w:jc w:val="center"/>
        <w:tblCellSpacing w:w="0" w:type="dxa"/>
        <w:tblInd w:w="0" w:type="dxa"/>
        <w:shd w:val="clear" w:color="auto" w:fill="FFFFFF"/>
        <w:tblLayout w:type="fixed"/>
        <w:tblCellMar>
          <w:top w:w="0" w:type="dxa"/>
          <w:left w:w="0" w:type="dxa"/>
          <w:bottom w:w="0" w:type="dxa"/>
          <w:right w:w="0" w:type="dxa"/>
        </w:tblCellMar>
      </w:tblPr>
      <w:tblGrid>
        <w:gridCol w:w="8306"/>
      </w:tblGrid>
      <w:tr>
        <w:tblPrEx>
          <w:shd w:val="clear" w:color="auto" w:fill="FFFFFF"/>
          <w:tblLayout w:type="fixed"/>
          <w:tblCellMar>
            <w:top w:w="0" w:type="dxa"/>
            <w:left w:w="0" w:type="dxa"/>
            <w:bottom w:w="0" w:type="dxa"/>
            <w:right w:w="0" w:type="dxa"/>
          </w:tblCellMar>
        </w:tblPrEx>
        <w:trPr>
          <w:trHeight w:val="301" w:hRule="atLeast"/>
          <w:tblCellSpacing w:w="0" w:type="dxa"/>
          <w:jc w:val="center"/>
        </w:trPr>
        <w:tc>
          <w:tcPr>
            <w:tcW w:w="8306" w:type="dxa"/>
            <w:shd w:val="clear" w:color="auto" w:fill="FFFFFF"/>
            <w:vAlign w:val="center"/>
          </w:tcPr>
          <w:p>
            <w:pPr>
              <w:pStyle w:val="2"/>
              <w:keepNext w:val="0"/>
              <w:keepLines w:val="0"/>
              <w:widowControl/>
              <w:suppressLineNumbers w:val="0"/>
              <w:spacing w:line="24" w:lineRule="atLeast"/>
              <w:jc w:val="center"/>
            </w:pPr>
            <w:r>
              <w:rPr>
                <w:rFonts w:hint="eastAsia" w:ascii="宋体" w:hAnsi="宋体" w:eastAsia="宋体" w:cs="宋体"/>
                <w:caps w:val="0"/>
                <w:spacing w:val="0"/>
                <w:sz w:val="27"/>
                <w:szCs w:val="27"/>
              </w:rPr>
              <w:t>第一部分   楼市政策分析</w:t>
            </w:r>
          </w:p>
          <w:p>
            <w:pPr>
              <w:pStyle w:val="3"/>
              <w:keepNext w:val="0"/>
              <w:keepLines w:val="0"/>
              <w:widowControl/>
              <w:suppressLineNumbers w:val="0"/>
              <w:spacing w:line="24" w:lineRule="atLeast"/>
            </w:pPr>
            <w:bookmarkStart w:id="0" w:name="_Toc398024652"/>
            <w:bookmarkEnd w:id="0"/>
            <w:bookmarkStart w:id="1" w:name="_Toc384797619"/>
            <w:bookmarkEnd w:id="1"/>
            <w:bookmarkStart w:id="2" w:name="_Toc384797303"/>
            <w:bookmarkEnd w:id="2"/>
            <w:bookmarkStart w:id="3" w:name="_Toc384797221"/>
            <w:bookmarkEnd w:id="3"/>
            <w:bookmarkStart w:id="4" w:name="_Toc384796962"/>
            <w:bookmarkEnd w:id="4"/>
            <w:bookmarkStart w:id="5" w:name="_Toc380050033"/>
            <w:bookmarkEnd w:id="5"/>
            <w:bookmarkStart w:id="6" w:name="_Toc347757543"/>
            <w:bookmarkEnd w:id="6"/>
            <w:r>
              <w:rPr>
                <w:caps w:val="0"/>
                <w:spacing w:val="0"/>
              </w:rPr>
              <w:t>      </w:t>
            </w:r>
            <w:bookmarkStart w:id="7" w:name="_Toc345167227"/>
            <w:r>
              <w:rPr>
                <w:rFonts w:hint="eastAsia" w:ascii="宋体" w:hAnsi="宋体" w:eastAsia="宋体" w:cs="宋体"/>
                <w:caps w:val="0"/>
                <w:spacing w:val="0"/>
                <w:sz w:val="20"/>
                <w:szCs w:val="20"/>
              </w:rPr>
              <w:t>一、 本月楼市政策一览</w:t>
            </w:r>
            <w:bookmarkEnd w:id="7"/>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1、符合条件的非沪籍人才今后有资格在沪购房</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Style w:val="7"/>
                <w:rFonts w:hint="eastAsia" w:ascii="宋体" w:hAnsi="宋体" w:eastAsia="宋体" w:cs="宋体"/>
                <w:caps w:val="0"/>
                <w:spacing w:val="0"/>
                <w:kern w:val="0"/>
                <w:sz w:val="20"/>
                <w:szCs w:val="20"/>
                <w:lang w:val="en-US" w:eastAsia="zh-CN" w:bidi="ar"/>
              </w:rPr>
              <w:t>内容简介：</w:t>
            </w:r>
            <w:r>
              <w:rPr>
                <w:rFonts w:hint="eastAsia" w:ascii="宋体" w:hAnsi="宋体" w:eastAsia="宋体" w:cs="宋体"/>
                <w:caps w:val="0"/>
                <w:spacing w:val="0"/>
                <w:kern w:val="0"/>
                <w:sz w:val="20"/>
                <w:szCs w:val="20"/>
                <w:lang w:val="en-US" w:eastAsia="zh-CN" w:bidi="ar"/>
              </w:rPr>
              <w:t>7月6日，上海出台《关于深化人才工作体制机制改革促进人才创新创业的实施意见》，是落实5月《关于加快建设具有全球影响力的科技创新中心的意见》的配套政策。明确完善居住证积分政策，对经由市场主体评价并获得市场认可的创业人才及其核心团队、企业科技和技能人才、创新创业中介服务人才及其核心团队等，直接赋予居住证积分标准分值。对达到上海市居住证积分标准分值且缴纳个人所得税达到一定数额或职工社会保险缴费基数达到一定标准的非沪籍人员，定向微调住房限购政策。</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Style w:val="7"/>
                <w:rFonts w:hint="eastAsia" w:ascii="宋体" w:hAnsi="宋体" w:eastAsia="宋体" w:cs="宋体"/>
                <w:caps w:val="0"/>
                <w:spacing w:val="0"/>
                <w:kern w:val="0"/>
                <w:sz w:val="20"/>
                <w:szCs w:val="20"/>
                <w:lang w:val="en-US" w:eastAsia="zh-CN" w:bidi="ar"/>
              </w:rPr>
              <w:t> 政策解读：</w:t>
            </w:r>
            <w:r>
              <w:rPr>
                <w:rFonts w:hint="eastAsia" w:ascii="宋体" w:hAnsi="宋体" w:eastAsia="宋体" w:cs="宋体"/>
                <w:caps w:val="0"/>
                <w:spacing w:val="0"/>
                <w:kern w:val="0"/>
                <w:sz w:val="20"/>
                <w:szCs w:val="20"/>
                <w:lang w:val="en-US" w:eastAsia="zh-CN" w:bidi="ar"/>
              </w:rPr>
              <w:t>自2012年上海楼市“限购令”明确非上海户籍居住一年以上单身者，不可买房，这一政策的出台，在一定程度上抑制了非上海户籍单身人士的买房需求。而本《意见》微调对非沪籍单身人士的购房限制，不仅更加合理化、人性化，也将对后市房地产的成交量起到积极的拉动作用，并且对于非沪籍家庭由夫妻整体解散为个体的单独一方来说，都提供了再度购房的可能。</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2、浙江省出台新一轮房地产市场政策</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Style w:val="7"/>
                <w:rFonts w:hint="eastAsia" w:ascii="宋体" w:hAnsi="宋体" w:eastAsia="宋体" w:cs="宋体"/>
                <w:caps w:val="0"/>
                <w:spacing w:val="0"/>
                <w:kern w:val="0"/>
                <w:sz w:val="20"/>
                <w:szCs w:val="20"/>
                <w:lang w:val="en-US" w:eastAsia="zh-CN" w:bidi="ar"/>
              </w:rPr>
              <w:t> 内容简介：</w:t>
            </w:r>
            <w:r>
              <w:rPr>
                <w:rFonts w:hint="eastAsia" w:ascii="宋体" w:hAnsi="宋体" w:eastAsia="宋体" w:cs="宋体"/>
                <w:caps w:val="0"/>
                <w:spacing w:val="0"/>
                <w:kern w:val="0"/>
                <w:sz w:val="20"/>
                <w:szCs w:val="20"/>
                <w:lang w:val="en-US" w:eastAsia="zh-CN" w:bidi="ar"/>
              </w:rPr>
              <w:t>7月13日，浙江省人民政府办公厅出台《关于促进房地产市场平稳健康发展的通知》，重点指出要合理安排住房及用地供应，对于在售商品住宅库存过大，消化周期超过2年的市、县(市、区)，或在售、在建待售商品住宅和已出让待建商品住宅用地过多，累计消化周期超过3年的市、县(市、区),暂停商品用地供应；支持鼓励居民住房消费，全面清理住房公积金使用的障碍和门槛，继续推进公积金支持住房消费。鼓励有条件的城市试行提取住房公积金支付购房首付款、物业费、物业专项维修资金。稳妥推进“公转商”贴息贷款政策,开展住房公积金个人住房贷款资产证券化业务试点。</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Style w:val="7"/>
                <w:rFonts w:hint="eastAsia" w:ascii="宋体" w:hAnsi="宋体" w:eastAsia="宋体" w:cs="宋体"/>
                <w:caps w:val="0"/>
                <w:spacing w:val="0"/>
                <w:kern w:val="0"/>
                <w:sz w:val="20"/>
                <w:szCs w:val="20"/>
                <w:lang w:val="en-US" w:eastAsia="zh-CN" w:bidi="ar"/>
              </w:rPr>
              <w:t>政策解读：</w:t>
            </w:r>
            <w:r>
              <w:rPr>
                <w:rFonts w:hint="eastAsia" w:ascii="宋体" w:hAnsi="宋体" w:eastAsia="宋体" w:cs="宋体"/>
                <w:caps w:val="0"/>
                <w:spacing w:val="0"/>
                <w:kern w:val="0"/>
                <w:sz w:val="20"/>
                <w:szCs w:val="20"/>
                <w:lang w:val="en-US" w:eastAsia="zh-CN" w:bidi="ar"/>
              </w:rPr>
              <w:t>这个政策短期看起来是在抑制土地市场的供应，但是长期看是为推动土地市场的长远发展。因为库存一直高居不下的情况下，这个板块这个城市也不会吸引开发商拿地投资，而一旦商品房销量上升，库存得到有效去化，自然而然的就会有更多的开发商看到这里的潜力，继而推动土地市场的发展。对于整个房地产行业来说，并不见得是一件好事，到时候，可能面临房价大涨。房地产发展有自身的规律，过多的行政干预只会让市场发展越走越远。政府应该提前对需求有充分考虑，从而有计划地控制推地节奏。</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3、湖北：9月1日起补偿费不到位不得强征房屋</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Style w:val="7"/>
                <w:rFonts w:hint="eastAsia" w:ascii="宋体" w:hAnsi="宋体" w:eastAsia="宋体" w:cs="宋体"/>
                <w:caps w:val="0"/>
                <w:spacing w:val="0"/>
                <w:kern w:val="0"/>
                <w:sz w:val="20"/>
                <w:szCs w:val="20"/>
                <w:lang w:val="en-US" w:eastAsia="zh-CN" w:bidi="ar"/>
              </w:rPr>
              <w:t>内容简介：《</w:t>
            </w:r>
            <w:r>
              <w:rPr>
                <w:rFonts w:hint="eastAsia" w:ascii="宋体" w:hAnsi="宋体" w:eastAsia="宋体" w:cs="宋体"/>
                <w:caps w:val="0"/>
                <w:spacing w:val="0"/>
                <w:kern w:val="0"/>
                <w:sz w:val="20"/>
                <w:szCs w:val="20"/>
                <w:lang w:val="en-US" w:eastAsia="zh-CN" w:bidi="ar"/>
              </w:rPr>
              <w:t>湖北省国有土地上房屋征收与补偿实施办法》已经省人民政府常务会议审议通过并公布，将自今年9月1日起施行。办法规定，作出房屋征收决定前，征收补偿费用应当足额到位、专户存储、专款专用。征收补偿费用不到位的，不得作出房屋征收决定；对被征收房屋价值的补偿，不得低于同时期类似房地产的市场价格；办法还明确规定，任何单位和个人不得采取暴力、威胁或者违反规定中断供水、供热、供气、供电和道路通行等非法方式迫使被征收人搬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Style w:val="7"/>
                <w:rFonts w:hint="eastAsia" w:ascii="宋体" w:hAnsi="宋体" w:eastAsia="宋体" w:cs="宋体"/>
                <w:caps w:val="0"/>
                <w:spacing w:val="0"/>
                <w:kern w:val="0"/>
                <w:sz w:val="20"/>
                <w:szCs w:val="20"/>
                <w:lang w:val="en-US" w:eastAsia="zh-CN" w:bidi="ar"/>
              </w:rPr>
              <w:t> 政策解读：</w:t>
            </w:r>
            <w:r>
              <w:rPr>
                <w:rFonts w:hint="eastAsia" w:ascii="宋体" w:hAnsi="宋体" w:eastAsia="宋体" w:cs="宋体"/>
                <w:caps w:val="0"/>
                <w:spacing w:val="0"/>
                <w:kern w:val="0"/>
                <w:sz w:val="20"/>
                <w:szCs w:val="20"/>
                <w:lang w:val="en-US" w:eastAsia="zh-CN" w:bidi="ar"/>
              </w:rPr>
              <w:t>该办法有利于规范国有土地上房屋征收与补偿活动，维护公共利益，保障被征收房屋所有权人的合法权益，同时也增加了开发商的成本。</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4、7月22日，住建部调整公积金贷款利率</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Style w:val="7"/>
                <w:rFonts w:hint="eastAsia" w:ascii="宋体" w:hAnsi="宋体" w:eastAsia="宋体" w:cs="宋体"/>
                <w:caps w:val="0"/>
                <w:spacing w:val="0"/>
                <w:kern w:val="0"/>
                <w:sz w:val="20"/>
                <w:szCs w:val="20"/>
                <w:lang w:val="en-US" w:eastAsia="zh-CN" w:bidi="ar"/>
              </w:rPr>
              <w:t>内容简介：</w:t>
            </w:r>
            <w:r>
              <w:rPr>
                <w:rFonts w:hint="eastAsia" w:ascii="宋体" w:hAnsi="宋体" w:eastAsia="宋体" w:cs="宋体"/>
                <w:caps w:val="0"/>
                <w:spacing w:val="0"/>
                <w:kern w:val="0"/>
                <w:sz w:val="20"/>
                <w:szCs w:val="20"/>
                <w:lang w:val="en-US" w:eastAsia="zh-CN" w:bidi="ar"/>
              </w:rPr>
              <w:t>住房和城乡建设部近期宣布，下调中央国家机关住房公积金存贷款利率，调整后，1～5年期，由3.25%降低到3.00%；5～30年期，由3.75%降低到3.50%。2015年6月28日以前发放的住房公积金贷款今年仍执行原利率，2016年1月1日开始，执行调整后的个人住房公积金贷款期限档次利率。</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Style w:val="7"/>
                <w:rFonts w:hint="eastAsia" w:ascii="宋体" w:hAnsi="宋体" w:eastAsia="宋体" w:cs="宋体"/>
                <w:caps w:val="0"/>
                <w:spacing w:val="0"/>
                <w:kern w:val="0"/>
                <w:sz w:val="20"/>
                <w:szCs w:val="20"/>
                <w:lang w:val="en-US" w:eastAsia="zh-CN" w:bidi="ar"/>
              </w:rPr>
              <w:t>政策解读：</w:t>
            </w:r>
            <w:r>
              <w:rPr>
                <w:rFonts w:hint="eastAsia" w:ascii="宋体" w:hAnsi="宋体" w:eastAsia="宋体" w:cs="宋体"/>
                <w:caps w:val="0"/>
                <w:spacing w:val="0"/>
                <w:kern w:val="0"/>
                <w:sz w:val="20"/>
                <w:szCs w:val="20"/>
                <w:lang w:val="en-US" w:eastAsia="zh-CN" w:bidi="ar"/>
              </w:rPr>
              <w:t>住房公积金政策作为一项长远、法定的国家政策，对楼市乃至整个国家的经济发展举足轻重。而住房公积金利率的下调，让更多的购房者享受到实在的优惠，也代表国家在整体上对公积金制度的统筹和规划，以求扩大覆盖面、提高缴存量和利用率。本次公积金贷款利率的调整，是国家稳定楼市的重要策略。同时，对于缴纳公积金的职工来说无疑是一项利好消息。</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Style w:val="7"/>
                <w:rFonts w:hint="eastAsia" w:ascii="宋体" w:hAnsi="宋体" w:eastAsia="宋体" w:cs="宋体"/>
                <w:caps w:val="0"/>
                <w:spacing w:val="0"/>
                <w:kern w:val="0"/>
                <w:sz w:val="20"/>
                <w:szCs w:val="20"/>
                <w:lang w:val="en-US" w:eastAsia="zh-CN" w:bidi="ar"/>
              </w:rPr>
              <w:t>政策归纳：</w:t>
            </w:r>
            <w:bookmarkStart w:id="8" w:name="_Toc398024653"/>
            <w:bookmarkEnd w:id="8"/>
            <w:bookmarkStart w:id="9" w:name="_Toc384797620"/>
            <w:bookmarkEnd w:id="9"/>
            <w:bookmarkStart w:id="10" w:name="_Toc384797304"/>
            <w:bookmarkEnd w:id="10"/>
            <w:bookmarkStart w:id="11" w:name="_Toc384797222"/>
            <w:bookmarkEnd w:id="11"/>
            <w:bookmarkStart w:id="12" w:name="_Toc384796963"/>
            <w:bookmarkEnd w:id="12"/>
            <w:bookmarkStart w:id="13" w:name="_Toc380050034"/>
            <w:r>
              <w:rPr>
                <w:rFonts w:hint="eastAsia" w:ascii="宋体" w:hAnsi="宋体" w:eastAsia="宋体" w:cs="宋体"/>
                <w:caps w:val="0"/>
                <w:spacing w:val="0"/>
                <w:kern w:val="0"/>
                <w:sz w:val="20"/>
                <w:szCs w:val="20"/>
                <w:lang w:val="en-US" w:eastAsia="zh-CN" w:bidi="ar"/>
              </w:rPr>
              <w:t>虽然目前房地产市场逐渐回暖，但当前宏观经济形势相对较差，经济增速持续放缓，国家统计局数据显示，全国房地产新开工面积和销售面积均处于历史低位，可见当前开发商的开发意愿较低，全国房地产市场形势依旧严峻。地方政策因地制宜积极调整，沪、浙两地对全国房地产市场，尤其是二三线楼市，或许有一定的舆论导向作用。</w:t>
            </w:r>
            <w:bookmarkEnd w:id="13"/>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二、楼市发展趋势分析</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20"/>
                <w:szCs w:val="20"/>
                <w:lang w:val="en-US" w:eastAsia="zh-CN" w:bidi="ar"/>
              </w:rPr>
              <w:t>    土地状况：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4800600" cy="1047750"/>
                  <wp:effectExtent l="0" t="0" r="0" b="3810"/>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4"/>
                          <a:stretch>
                            <a:fillRect/>
                          </a:stretch>
                        </pic:blipFill>
                        <pic:spPr>
                          <a:xfrm>
                            <a:off x="0" y="0"/>
                            <a:ext cx="4800600" cy="10477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供应情况：</w:t>
            </w:r>
            <w:r>
              <w:rPr>
                <w:rFonts w:hint="eastAsia" w:ascii="宋体" w:hAnsi="宋体" w:eastAsia="宋体" w:cs="宋体"/>
                <w:caps w:val="0"/>
                <w:spacing w:val="0"/>
                <w:kern w:val="0"/>
                <w:sz w:val="20"/>
                <w:szCs w:val="20"/>
                <w:lang w:val="en-US" w:eastAsia="zh-CN" w:bidi="ar"/>
              </w:rPr>
              <w:t>2015年7月，全国300个城市共推出土地2661宗，环比减少14%，同比减少26%；</w:t>
            </w:r>
            <w:r>
              <w:rPr>
                <w:rFonts w:hint="eastAsia" w:ascii="宋体" w:hAnsi="宋体" w:eastAsia="宋体" w:cs="宋体"/>
                <w:b/>
                <w:caps w:val="0"/>
                <w:spacing w:val="0"/>
                <w:kern w:val="0"/>
                <w:sz w:val="20"/>
                <w:szCs w:val="20"/>
                <w:lang w:val="en-US" w:eastAsia="zh-CN" w:bidi="ar"/>
              </w:rPr>
              <w:t>推出土地面积8702万平方米，环比减少21%，同比减少29%。</w:t>
            </w:r>
            <w:r>
              <w:rPr>
                <w:rFonts w:hint="eastAsia" w:ascii="宋体" w:hAnsi="宋体" w:eastAsia="宋体" w:cs="宋体"/>
                <w:caps w:val="0"/>
                <w:spacing w:val="0"/>
                <w:kern w:val="0"/>
                <w:sz w:val="20"/>
                <w:szCs w:val="20"/>
                <w:lang w:val="en-US" w:eastAsia="zh-CN" w:bidi="ar"/>
              </w:rPr>
              <w:t>其中，住宅类用地（含住宅用地及包含住宅用地的综合性用地）630宗，环比减少28%，同比减少23%；推出土地面积2469万平方米，环比减少31%，同比减少29%。</w:t>
            </w:r>
            <w:r>
              <w:rPr>
                <w:rFonts w:hint="eastAsia" w:ascii="宋体" w:hAnsi="宋体" w:eastAsia="宋体" w:cs="宋体"/>
                <w:b/>
                <w:caps w:val="0"/>
                <w:spacing w:val="0"/>
                <w:kern w:val="0"/>
                <w:sz w:val="20"/>
                <w:szCs w:val="20"/>
                <w:lang w:val="en-US" w:eastAsia="zh-CN" w:bidi="ar"/>
              </w:rPr>
              <w:t>各线城市土地供应量回落，同环比均下跌。</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 成交情况：</w:t>
            </w:r>
            <w:r>
              <w:rPr>
                <w:rFonts w:hint="eastAsia" w:ascii="宋体" w:hAnsi="宋体" w:eastAsia="宋体" w:cs="宋体"/>
                <w:caps w:val="0"/>
                <w:spacing w:val="0"/>
                <w:kern w:val="0"/>
                <w:sz w:val="20"/>
                <w:szCs w:val="20"/>
                <w:lang w:val="en-US" w:eastAsia="zh-CN" w:bidi="ar"/>
              </w:rPr>
              <w:t>2015年6月，全国300个城市共成交土地1591宗，环比减少24%，同比减少38%；</w:t>
            </w:r>
            <w:r>
              <w:rPr>
                <w:rFonts w:hint="eastAsia" w:ascii="宋体" w:hAnsi="宋体" w:eastAsia="宋体" w:cs="宋体"/>
                <w:b/>
                <w:caps w:val="0"/>
                <w:spacing w:val="0"/>
                <w:kern w:val="0"/>
                <w:sz w:val="20"/>
                <w:szCs w:val="20"/>
                <w:lang w:val="en-US" w:eastAsia="zh-CN" w:bidi="ar"/>
              </w:rPr>
              <w:t>成交面积6066万平方米，环比减少17%，同比减少31%。</w:t>
            </w:r>
            <w:r>
              <w:rPr>
                <w:rFonts w:hint="eastAsia" w:ascii="宋体" w:hAnsi="宋体" w:eastAsia="宋体" w:cs="宋体"/>
                <w:caps w:val="0"/>
                <w:spacing w:val="0"/>
                <w:kern w:val="0"/>
                <w:sz w:val="20"/>
                <w:szCs w:val="20"/>
                <w:lang w:val="en-US" w:eastAsia="zh-CN" w:bidi="ar"/>
              </w:rPr>
              <w:t>其中，住宅用地（含住宅用地及包含住宅用地的综合性用地）364宗，环比减少32%，同比减少42%；成交面积1731万平方米，环比减少31%，同比减少37%。</w:t>
            </w:r>
            <w:r>
              <w:rPr>
                <w:rFonts w:hint="eastAsia" w:ascii="宋体" w:hAnsi="宋体" w:eastAsia="宋体" w:cs="宋体"/>
                <w:b/>
                <w:caps w:val="0"/>
                <w:spacing w:val="0"/>
                <w:kern w:val="0"/>
                <w:sz w:val="20"/>
                <w:szCs w:val="20"/>
                <w:lang w:val="en-US" w:eastAsia="zh-CN" w:bidi="ar"/>
              </w:rPr>
              <w:t>由于土地供应量减少，成交量同环比均下跌。</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 成交价格：</w:t>
            </w:r>
            <w:r>
              <w:rPr>
                <w:rFonts w:hint="eastAsia" w:ascii="宋体" w:hAnsi="宋体" w:eastAsia="宋体" w:cs="宋体"/>
                <w:caps w:val="0"/>
                <w:spacing w:val="0"/>
                <w:kern w:val="0"/>
                <w:sz w:val="20"/>
                <w:szCs w:val="20"/>
                <w:lang w:val="en-US" w:eastAsia="zh-CN" w:bidi="ar"/>
              </w:rPr>
              <w:t>全国300个城市成交楼面均价为1380元/平方米，环比下跌10%，同比上涨30%，其中住宅类用地（含住宅用地及包含住宅用地的综合性用地）成交楼面均价为2560元/平方米，环比上涨5%，同比上涨60%。</w:t>
            </w:r>
            <w:r>
              <w:rPr>
                <w:rFonts w:hint="eastAsia" w:ascii="宋体" w:hAnsi="宋体" w:eastAsia="宋体" w:cs="宋体"/>
                <w:b/>
                <w:caps w:val="0"/>
                <w:spacing w:val="0"/>
                <w:kern w:val="0"/>
                <w:sz w:val="20"/>
                <w:szCs w:val="20"/>
                <w:lang w:val="en-US" w:eastAsia="zh-CN" w:bidi="ar"/>
              </w:rPr>
              <w:t>受一二线城市价格回落影响，主要城市楼面均价环比下跌，同比涨幅收窄</w:t>
            </w:r>
            <w:r>
              <w:rPr>
                <w:rFonts w:hint="eastAsia" w:ascii="宋体" w:hAnsi="宋体" w:eastAsia="宋体" w:cs="宋体"/>
                <w:caps w:val="0"/>
                <w:spacing w:val="0"/>
                <w:kern w:val="0"/>
                <w:sz w:val="20"/>
                <w:szCs w:val="20"/>
                <w:lang w:val="en-US" w:eastAsia="zh-CN" w:bidi="ar"/>
              </w:rPr>
              <w:t>。</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房价情况：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本月监测的100个城市中（新建）住宅平均价格为10685元/平方米，环比上涨0.54%；从涨跌城市个数来看</w:t>
            </w:r>
            <w:r>
              <w:rPr>
                <w:rFonts w:hint="eastAsia" w:ascii="宋体" w:hAnsi="宋体" w:eastAsia="宋体" w:cs="宋体"/>
                <w:b/>
                <w:caps w:val="0"/>
                <w:spacing w:val="0"/>
                <w:kern w:val="0"/>
                <w:sz w:val="20"/>
                <w:szCs w:val="20"/>
                <w:lang w:val="en-US" w:eastAsia="zh-CN" w:bidi="ar"/>
              </w:rPr>
              <w:t>价格环比上涨的有46个，较上月减少7个；价格环比下跌的城市有53个，较上月增加7个；1个城市环比持平</w:t>
            </w:r>
            <w:r>
              <w:rPr>
                <w:rFonts w:hint="eastAsia" w:ascii="宋体" w:hAnsi="宋体" w:eastAsia="宋体" w:cs="宋体"/>
                <w:caps w:val="0"/>
                <w:spacing w:val="0"/>
                <w:kern w:val="0"/>
                <w:sz w:val="20"/>
                <w:szCs w:val="20"/>
                <w:lang w:val="en-US" w:eastAsia="zh-CN" w:bidi="ar"/>
              </w:rPr>
              <w:t>。</w:t>
            </w:r>
            <w:r>
              <w:rPr>
                <w:rFonts w:hint="eastAsia" w:ascii="宋体" w:hAnsi="宋体" w:eastAsia="宋体" w:cs="宋体"/>
                <w:b/>
                <w:caps w:val="0"/>
                <w:spacing w:val="0"/>
                <w:kern w:val="0"/>
                <w:sz w:val="20"/>
                <w:szCs w:val="20"/>
                <w:lang w:val="en-US" w:eastAsia="zh-CN" w:bidi="ar"/>
              </w:rPr>
              <w:t>同比来看</w:t>
            </w:r>
            <w:r>
              <w:rPr>
                <w:rFonts w:hint="eastAsia" w:ascii="宋体" w:hAnsi="宋体" w:eastAsia="宋体" w:cs="宋体"/>
                <w:caps w:val="0"/>
                <w:spacing w:val="0"/>
                <w:kern w:val="0"/>
                <w:sz w:val="20"/>
                <w:szCs w:val="20"/>
                <w:lang w:val="en-US" w:eastAsia="zh-CN" w:bidi="ar"/>
              </w:rPr>
              <w:t>，与2014年7月相比下跌1.38%，跌幅较上月收窄1.32个百分点。住宅价格上涨的城市有17个，较上月增加了4个；下跌的城市有83个，较上月减少了4个。</w:t>
            </w:r>
            <w:r>
              <w:rPr>
                <w:rFonts w:hint="eastAsia" w:ascii="宋体" w:hAnsi="宋体" w:eastAsia="宋体" w:cs="宋体"/>
                <w:b/>
                <w:caps w:val="0"/>
                <w:spacing w:val="0"/>
                <w:kern w:val="0"/>
                <w:sz w:val="20"/>
                <w:szCs w:val="20"/>
                <w:lang w:val="en-US" w:eastAsia="zh-CN" w:bidi="ar"/>
              </w:rPr>
              <w:t>全国十大重点城市住宅均价为19580元/平方米</w:t>
            </w:r>
            <w:r>
              <w:rPr>
                <w:rFonts w:hint="eastAsia" w:ascii="宋体" w:hAnsi="宋体" w:eastAsia="宋体" w:cs="宋体"/>
                <w:caps w:val="0"/>
                <w:spacing w:val="0"/>
                <w:kern w:val="0"/>
                <w:sz w:val="20"/>
                <w:szCs w:val="20"/>
                <w:lang w:val="en-US" w:eastAsia="zh-CN" w:bidi="ar"/>
              </w:rPr>
              <w:t>，环比上涨1.15%，除了重庆、成都、广州环比下跌，其余城市均上涨；同比止跌转涨，上涨1.3%，深圳、上海、武汉、北京、南京5个城市同比上涨，较上月增加3个，其余城市均下跌。</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三、本地楼市成交情况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1、宜昌城区住宅成交情况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4800600" cy="2352675"/>
                  <wp:effectExtent l="0" t="0" r="0" b="9525"/>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5"/>
                          <a:stretch>
                            <a:fillRect/>
                          </a:stretch>
                        </pic:blipFill>
                        <pic:spPr>
                          <a:xfrm>
                            <a:off x="0" y="0"/>
                            <a:ext cx="4800600" cy="23526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本月宜昌城区住宅成交1560套，较上月增加了201套，环比上涨15%，</w:t>
            </w:r>
            <w:r>
              <w:rPr>
                <w:rFonts w:hint="eastAsia" w:ascii="宋体" w:hAnsi="宋体" w:eastAsia="宋体" w:cs="宋体"/>
                <w:caps w:val="0"/>
                <w:spacing w:val="0"/>
                <w:kern w:val="0"/>
                <w:sz w:val="20"/>
                <w:szCs w:val="20"/>
                <w:lang w:val="en-US" w:eastAsia="zh-CN" w:bidi="ar"/>
              </w:rPr>
              <w:t>看来央行降息及各项利好政策对楼市有一定促进作用；由于去年6月28日恒大帝景开盘狂销使得去年7月网签备案数量大增，因此本月</w:t>
            </w:r>
            <w:r>
              <w:rPr>
                <w:rFonts w:hint="eastAsia" w:ascii="宋体" w:hAnsi="宋体" w:eastAsia="宋体" w:cs="宋体"/>
                <w:b/>
                <w:caps w:val="0"/>
                <w:spacing w:val="0"/>
                <w:kern w:val="0"/>
                <w:sz w:val="20"/>
                <w:szCs w:val="20"/>
                <w:lang w:val="en-US" w:eastAsia="zh-CN" w:bidi="ar"/>
              </w:rPr>
              <w:t>同比减少了559套，跌幅达26%</w:t>
            </w:r>
            <w:r>
              <w:rPr>
                <w:rFonts w:hint="eastAsia" w:ascii="宋体" w:hAnsi="宋体" w:eastAsia="宋体" w:cs="宋体"/>
                <w:caps w:val="0"/>
                <w:spacing w:val="0"/>
                <w:kern w:val="0"/>
                <w:sz w:val="20"/>
                <w:szCs w:val="20"/>
                <w:lang w:val="en-US" w:eastAsia="zh-CN" w:bidi="ar"/>
              </w:rPr>
              <w:t>。</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4800600" cy="2219325"/>
                  <wp:effectExtent l="0" t="0" r="0" b="5715"/>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6"/>
                          <a:stretch>
                            <a:fillRect/>
                          </a:stretch>
                        </pic:blipFill>
                        <pic:spPr>
                          <a:xfrm>
                            <a:off x="0" y="0"/>
                            <a:ext cx="4800600" cy="22193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20"/>
                <w:szCs w:val="20"/>
                <w:lang w:val="en-US" w:eastAsia="zh-CN" w:bidi="ar"/>
              </w:rPr>
              <w:t> 如图所示，本月成交套数最多的时日为7日、13日、15日、20日以及30日均达到70套以上，尤其是30日达到84套，这些时日多为周一周二；而4、5日，11、12日，18、19日以及25、26日成交量均不超过30套，尤其是19日才18套，而这些时日恰逢周六周日。</w:t>
            </w:r>
            <w:r>
              <w:rPr>
                <w:rFonts w:hint="eastAsia" w:ascii="宋体" w:hAnsi="宋体" w:eastAsia="宋体" w:cs="宋体"/>
                <w:b/>
                <w:caps w:val="0"/>
                <w:spacing w:val="0"/>
                <w:kern w:val="0"/>
                <w:sz w:val="20"/>
                <w:szCs w:val="20"/>
                <w:lang w:val="en-US" w:eastAsia="zh-CN" w:bidi="ar"/>
              </w:rPr>
              <w:t>周六周日售楼部举办各种活动为商家带来了人气，积累了客户，客户当日下定，但过几天才会签合同，因此销售备案数据滞后。</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2667000" cy="1600200"/>
                  <wp:effectExtent l="0" t="0" r="0" b="0"/>
                  <wp:docPr id="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9"/>
                          <pic:cNvPicPr>
                            <a:picLocks noChangeAspect="1"/>
                          </pic:cNvPicPr>
                        </pic:nvPicPr>
                        <pic:blipFill>
                          <a:blip r:embed="rId7"/>
                          <a:stretch>
                            <a:fillRect/>
                          </a:stretch>
                        </pic:blipFill>
                        <pic:spPr>
                          <a:xfrm>
                            <a:off x="0" y="0"/>
                            <a:ext cx="2667000" cy="1600200"/>
                          </a:xfrm>
                          <a:prstGeom prst="rect">
                            <a:avLst/>
                          </a:prstGeom>
                          <a:noFill/>
                          <a:ln w="9525">
                            <a:noFill/>
                          </a:ln>
                        </pic:spPr>
                      </pic:pic>
                    </a:graphicData>
                  </a:graphic>
                </wp:inline>
              </w:drawing>
            </w:r>
            <w:r>
              <w:rPr>
                <w:rStyle w:val="7"/>
                <w:rFonts w:hint="eastAsia" w:ascii="宋体" w:hAnsi="宋体" w:eastAsia="宋体" w:cs="宋体"/>
                <w:caps w:val="0"/>
                <w:spacing w:val="0"/>
                <w:kern w:val="0"/>
                <w:sz w:val="20"/>
                <w:szCs w:val="20"/>
                <w:lang w:val="en-US" w:eastAsia="zh-CN" w:bidi="ar"/>
              </w:rPr>
              <w:t>  </w:t>
            </w:r>
            <w:r>
              <w:rPr>
                <w:rStyle w:val="7"/>
                <w:rFonts w:hint="eastAsia" w:ascii="宋体" w:hAnsi="宋体" w:eastAsia="宋体" w:cs="宋体"/>
                <w:caps w:val="0"/>
                <w:spacing w:val="0"/>
                <w:kern w:val="0"/>
                <w:sz w:val="20"/>
                <w:szCs w:val="20"/>
                <w:lang w:val="en-US" w:eastAsia="zh-CN" w:bidi="ar"/>
              </w:rPr>
              <w:drawing>
                <wp:inline distT="0" distB="0" distL="114300" distR="114300">
                  <wp:extent cx="2667000" cy="1600200"/>
                  <wp:effectExtent l="0" t="0" r="0" b="0"/>
                  <wp:docPr id="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60"/>
                          <pic:cNvPicPr>
                            <a:picLocks noChangeAspect="1"/>
                          </pic:cNvPicPr>
                        </pic:nvPicPr>
                        <pic:blipFill>
                          <a:blip r:embed="rId8"/>
                          <a:stretch>
                            <a:fillRect/>
                          </a:stretch>
                        </pic:blipFill>
                        <pic:spPr>
                          <a:xfrm>
                            <a:off x="0" y="0"/>
                            <a:ext cx="2667000" cy="16002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本月宜昌楼市从成交区域来看，</w:t>
            </w:r>
            <w:r>
              <w:rPr>
                <w:rFonts w:hint="eastAsia" w:ascii="宋体" w:hAnsi="宋体" w:eastAsia="宋体" w:cs="宋体"/>
                <w:b/>
                <w:caps w:val="0"/>
                <w:spacing w:val="0"/>
                <w:kern w:val="0"/>
                <w:sz w:val="20"/>
                <w:szCs w:val="20"/>
                <w:lang w:val="en-US" w:eastAsia="zh-CN" w:bidi="ar"/>
              </w:rPr>
              <w:t>依然是伍家区和夷陵区占比最大</w:t>
            </w:r>
            <w:r>
              <w:rPr>
                <w:rFonts w:hint="eastAsia" w:ascii="宋体" w:hAnsi="宋体" w:eastAsia="宋体" w:cs="宋体"/>
                <w:caps w:val="0"/>
                <w:spacing w:val="0"/>
                <w:kern w:val="0"/>
                <w:sz w:val="20"/>
                <w:szCs w:val="20"/>
                <w:lang w:val="en-US" w:eastAsia="zh-CN" w:bidi="ar"/>
              </w:rPr>
              <w:t>，其中伍家区成交642套，占比41%；夷陵区成交375套，占比24%；</w:t>
            </w:r>
            <w:r>
              <w:rPr>
                <w:rFonts w:hint="eastAsia" w:ascii="宋体" w:hAnsi="宋体" w:eastAsia="宋体" w:cs="宋体"/>
                <w:b/>
                <w:caps w:val="0"/>
                <w:spacing w:val="0"/>
                <w:kern w:val="0"/>
                <w:sz w:val="20"/>
                <w:szCs w:val="20"/>
                <w:lang w:val="en-US" w:eastAsia="zh-CN" w:bidi="ar"/>
              </w:rPr>
              <w:t>其次是西陵区</w:t>
            </w:r>
            <w:r>
              <w:rPr>
                <w:rFonts w:hint="eastAsia" w:ascii="宋体" w:hAnsi="宋体" w:eastAsia="宋体" w:cs="宋体"/>
                <w:caps w:val="0"/>
                <w:spacing w:val="0"/>
                <w:kern w:val="0"/>
                <w:sz w:val="20"/>
                <w:szCs w:val="20"/>
                <w:lang w:val="en-US" w:eastAsia="zh-CN" w:bidi="ar"/>
              </w:rPr>
              <w:t>成交219套，占比14%。</w:t>
            </w:r>
            <w:r>
              <w:rPr>
                <w:rFonts w:hint="eastAsia" w:ascii="宋体" w:hAnsi="宋体" w:eastAsia="宋体" w:cs="宋体"/>
                <w:b/>
                <w:caps w:val="0"/>
                <w:spacing w:val="0"/>
                <w:kern w:val="0"/>
                <w:sz w:val="20"/>
                <w:szCs w:val="20"/>
                <w:lang w:val="en-US" w:eastAsia="zh-CN" w:bidi="ar"/>
              </w:rPr>
              <w:t>成交区域最少的是猇亭区和夷陵开发区</w:t>
            </w:r>
            <w:r>
              <w:rPr>
                <w:rFonts w:hint="eastAsia" w:ascii="宋体" w:hAnsi="宋体" w:eastAsia="宋体" w:cs="宋体"/>
                <w:caps w:val="0"/>
                <w:spacing w:val="0"/>
                <w:kern w:val="0"/>
                <w:sz w:val="20"/>
                <w:szCs w:val="20"/>
                <w:lang w:val="en-US" w:eastAsia="zh-CN" w:bidi="ar"/>
              </w:rPr>
              <w:t>，各11套，占比仅1% ，因为楼盘少位置偏，销售缓慢。</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2、宜昌城区二手房成交情况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drawing>
                <wp:inline distT="0" distB="0" distL="114300" distR="114300">
                  <wp:extent cx="2552700" cy="1600200"/>
                  <wp:effectExtent l="0" t="0" r="7620" b="0"/>
                  <wp:docPr id="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61"/>
                          <pic:cNvPicPr>
                            <a:picLocks noChangeAspect="1"/>
                          </pic:cNvPicPr>
                        </pic:nvPicPr>
                        <pic:blipFill>
                          <a:blip r:embed="rId9"/>
                          <a:stretch>
                            <a:fillRect/>
                          </a:stretch>
                        </pic:blipFill>
                        <pic:spPr>
                          <a:xfrm>
                            <a:off x="0" y="0"/>
                            <a:ext cx="2552700" cy="1600200"/>
                          </a:xfrm>
                          <a:prstGeom prst="rect">
                            <a:avLst/>
                          </a:prstGeom>
                          <a:noFill/>
                          <a:ln w="9525">
                            <a:noFill/>
                          </a:ln>
                        </pic:spPr>
                      </pic:pic>
                    </a:graphicData>
                  </a:graphic>
                </wp:inline>
              </w:drawing>
            </w: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drawing>
                <wp:inline distT="0" distB="0" distL="114300" distR="114300">
                  <wp:extent cx="2667000" cy="1600200"/>
                  <wp:effectExtent l="0" t="0" r="0" b="0"/>
                  <wp:docPr id="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IMG_262"/>
                          <pic:cNvPicPr>
                            <a:picLocks noChangeAspect="1"/>
                          </pic:cNvPicPr>
                        </pic:nvPicPr>
                        <pic:blipFill>
                          <a:blip r:embed="rId10"/>
                          <a:stretch>
                            <a:fillRect/>
                          </a:stretch>
                        </pic:blipFill>
                        <pic:spPr>
                          <a:xfrm>
                            <a:off x="0" y="0"/>
                            <a:ext cx="2667000" cy="16002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2015年1-7月宜昌城区二手房成交3725套，成交面积35.4万方，成交总金额10.4亿元</w:t>
            </w:r>
            <w:r>
              <w:rPr>
                <w:rFonts w:hint="eastAsia" w:ascii="宋体" w:hAnsi="宋体" w:eastAsia="宋体" w:cs="宋体"/>
                <w:caps w:val="0"/>
                <w:spacing w:val="0"/>
                <w:kern w:val="0"/>
                <w:sz w:val="20"/>
                <w:szCs w:val="20"/>
                <w:lang w:val="en-US" w:eastAsia="zh-CN" w:bidi="ar"/>
              </w:rPr>
              <w:t>。就区域来看，西陵区成交19.2万方，2070套，成交金额5.3亿；其次是伍家区成交11万方，1114套，成交金额3.8亿，其它区域成交量均不大，夷陵区仅成交3套。</w:t>
            </w:r>
            <w:r>
              <w:rPr>
                <w:rFonts w:hint="eastAsia" w:ascii="宋体" w:hAnsi="宋体" w:eastAsia="宋体" w:cs="宋体"/>
                <w:b/>
                <w:caps w:val="0"/>
                <w:spacing w:val="0"/>
                <w:kern w:val="0"/>
                <w:sz w:val="20"/>
                <w:szCs w:val="20"/>
                <w:lang w:val="en-US" w:eastAsia="zh-CN" w:bidi="ar"/>
              </w:rPr>
              <w:t>本月宜昌城区二手房成交497套，成交面积4.5万方，成交金额1.4亿，比6月减少了137套，环比下跌22%。</w:t>
            </w:r>
            <w:r>
              <w:rPr>
                <w:rFonts w:hint="eastAsia" w:ascii="宋体" w:hAnsi="宋体" w:eastAsia="宋体" w:cs="宋体"/>
                <w:caps w:val="0"/>
                <w:spacing w:val="0"/>
                <w:kern w:val="0"/>
                <w:sz w:val="20"/>
                <w:szCs w:val="20"/>
                <w:lang w:val="en-US" w:eastAsia="zh-CN" w:bidi="ar"/>
              </w:rPr>
              <w:t>就成交区域来看，西陵区成交2.5万方，274套，比上月减少90套，环比下跌25%；伍家区成交1.3万方，145套，比上月减少23套，环比下跌14%。</w:t>
            </w:r>
            <w:r>
              <w:rPr>
                <w:rFonts w:hint="eastAsia" w:ascii="宋体" w:hAnsi="宋体" w:eastAsia="宋体" w:cs="宋体"/>
                <w:b/>
                <w:caps w:val="0"/>
                <w:spacing w:val="0"/>
                <w:kern w:val="0"/>
                <w:sz w:val="20"/>
                <w:szCs w:val="20"/>
                <w:lang w:val="en-US" w:eastAsia="zh-CN" w:bidi="ar"/>
              </w:rPr>
              <w:t>一手房价格不高加之各种优惠活动及利好政策，使人们更愿意接受一手房，而二手房大多位于西陵老城区，价格偏高形象老旧，导致二手房销量下滑。</w:t>
            </w:r>
          </w:p>
          <w:p>
            <w:pPr>
              <w:pStyle w:val="2"/>
              <w:keepNext w:val="0"/>
              <w:keepLines w:val="0"/>
              <w:widowControl/>
              <w:suppressLineNumbers w:val="0"/>
              <w:spacing w:line="24" w:lineRule="atLeast"/>
              <w:jc w:val="center"/>
            </w:pPr>
            <w:r>
              <w:rPr>
                <w:rFonts w:hint="eastAsia" w:ascii="宋体" w:hAnsi="宋体" w:eastAsia="宋体" w:cs="宋体"/>
                <w:caps w:val="0"/>
                <w:spacing w:val="0"/>
                <w:sz w:val="27"/>
                <w:szCs w:val="27"/>
              </w:rPr>
              <w:t>第二部分   土地市场分析</w:t>
            </w:r>
          </w:p>
          <w:p>
            <w:pPr>
              <w:pStyle w:val="3"/>
              <w:keepNext w:val="0"/>
              <w:keepLines w:val="0"/>
              <w:widowControl/>
              <w:suppressLineNumbers w:val="0"/>
              <w:spacing w:line="24" w:lineRule="atLeast"/>
            </w:pPr>
            <w:bookmarkStart w:id="14" w:name="_Toc398024655"/>
            <w:bookmarkEnd w:id="14"/>
            <w:bookmarkStart w:id="15" w:name="_Toc384797622"/>
            <w:bookmarkEnd w:id="15"/>
            <w:bookmarkStart w:id="16" w:name="_Toc384797306"/>
            <w:bookmarkEnd w:id="16"/>
            <w:bookmarkStart w:id="17" w:name="_Toc384797224"/>
            <w:bookmarkEnd w:id="17"/>
            <w:bookmarkStart w:id="18" w:name="_Toc384796965"/>
            <w:bookmarkEnd w:id="18"/>
            <w:bookmarkStart w:id="19" w:name="_Toc380050036"/>
            <w:bookmarkEnd w:id="19"/>
            <w:bookmarkStart w:id="20" w:name="_Toc353178132"/>
            <w:bookmarkEnd w:id="20"/>
            <w:bookmarkStart w:id="21" w:name="_Toc347757546"/>
            <w:bookmarkEnd w:id="21"/>
            <w:r>
              <w:rPr>
                <w:caps w:val="0"/>
                <w:spacing w:val="0"/>
              </w:rPr>
              <w:t>     </w:t>
            </w:r>
            <w:bookmarkStart w:id="22" w:name="_Toc339981458"/>
            <w:r>
              <w:rPr>
                <w:rFonts w:hint="eastAsia" w:ascii="宋体" w:hAnsi="宋体" w:eastAsia="宋体" w:cs="宋体"/>
                <w:caps w:val="0"/>
                <w:spacing w:val="0"/>
                <w:sz w:val="20"/>
                <w:szCs w:val="20"/>
              </w:rPr>
              <w:t>一、土地供应市场解析</w:t>
            </w:r>
            <w:bookmarkEnd w:id="22"/>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bookmarkStart w:id="23" w:name="_Toc380050037"/>
            <w:bookmarkEnd w:id="23"/>
            <w:r>
              <w:rPr>
                <w:rFonts w:hint="eastAsia" w:ascii="宋体" w:hAnsi="宋体" w:eastAsia="宋体" w:cs="宋体"/>
                <w:caps w:val="0"/>
                <w:spacing w:val="0"/>
                <w:kern w:val="0"/>
                <w:sz w:val="14"/>
                <w:szCs w:val="14"/>
                <w:lang w:val="en-US" w:eastAsia="zh-CN" w:bidi="ar"/>
              </w:rPr>
              <w:t>     </w:t>
            </w:r>
            <w:bookmarkStart w:id="24" w:name="_Toc350245826"/>
            <w:r>
              <w:rPr>
                <w:rFonts w:hint="eastAsia" w:ascii="宋体" w:hAnsi="宋体" w:eastAsia="宋体" w:cs="宋体"/>
                <w:b/>
                <w:caps w:val="0"/>
                <w:spacing w:val="0"/>
                <w:kern w:val="0"/>
                <w:sz w:val="20"/>
                <w:szCs w:val="20"/>
                <w:lang w:val="en-US" w:eastAsia="zh-CN" w:bidi="ar"/>
              </w:rPr>
              <w:t>1</w:t>
            </w:r>
            <w:bookmarkEnd w:id="24"/>
            <w:r>
              <w:rPr>
                <w:rFonts w:hint="eastAsia" w:ascii="宋体" w:hAnsi="宋体" w:eastAsia="宋体" w:cs="宋体"/>
                <w:b/>
                <w:caps w:val="0"/>
                <w:spacing w:val="0"/>
                <w:kern w:val="0"/>
                <w:sz w:val="20"/>
                <w:szCs w:val="20"/>
                <w:lang w:val="en-US" w:eastAsia="zh-CN" w:bidi="ar"/>
              </w:rPr>
              <w:t>、土地供应情况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本月出让土地17宗，出让总面积92.04万方，出让总额为17.96亿元。环比6月，地块增加了1宗，面积增加了21.15万方，环比增加30%；与去年7月相比，地块减少了5宗，面积增加了23.09万方，同比增加34%。</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7月出让地块详情</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334000" cy="2838450"/>
                  <wp:effectExtent l="0" t="0" r="0" b="11430"/>
                  <wp:docPr id="1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63"/>
                          <pic:cNvPicPr>
                            <a:picLocks noChangeAspect="1"/>
                          </pic:cNvPicPr>
                        </pic:nvPicPr>
                        <pic:blipFill>
                          <a:blip r:embed="rId11"/>
                          <a:stretch>
                            <a:fillRect/>
                          </a:stretch>
                        </pic:blipFill>
                        <pic:spPr>
                          <a:xfrm>
                            <a:off x="0" y="0"/>
                            <a:ext cx="5334000" cy="28384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2014年7月-2015年7月宜昌城区土地供给横向对比</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334000" cy="1209675"/>
                  <wp:effectExtent l="0" t="0" r="0" b="9525"/>
                  <wp:docPr id="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IMG_264"/>
                          <pic:cNvPicPr>
                            <a:picLocks noChangeAspect="1"/>
                          </pic:cNvPicPr>
                        </pic:nvPicPr>
                        <pic:blipFill>
                          <a:blip r:embed="rId12"/>
                          <a:stretch>
                            <a:fillRect/>
                          </a:stretch>
                        </pic:blipFill>
                        <pic:spPr>
                          <a:xfrm>
                            <a:off x="0" y="0"/>
                            <a:ext cx="5334000" cy="12096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2、出让土地特征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从用地性质来看，</w:t>
            </w:r>
            <w:r>
              <w:rPr>
                <w:rFonts w:hint="eastAsia" w:ascii="宋体" w:hAnsi="宋体" w:eastAsia="宋体" w:cs="宋体"/>
                <w:caps w:val="0"/>
                <w:spacing w:val="0"/>
                <w:kern w:val="0"/>
                <w:sz w:val="20"/>
                <w:szCs w:val="20"/>
                <w:lang w:val="en-US" w:eastAsia="zh-CN" w:bidi="ar"/>
              </w:rPr>
              <w:t>工业用地有9宗，商住用地2宗、住宅用地2宗、商服住宅2宗、商务金融1宗，商服用地1宗；</w:t>
            </w:r>
            <w:r>
              <w:rPr>
                <w:rFonts w:hint="eastAsia" w:ascii="宋体" w:hAnsi="宋体" w:eastAsia="宋体" w:cs="宋体"/>
                <w:b/>
                <w:caps w:val="0"/>
                <w:spacing w:val="0"/>
                <w:kern w:val="0"/>
                <w:sz w:val="20"/>
                <w:szCs w:val="20"/>
                <w:lang w:val="en-US" w:eastAsia="zh-CN" w:bidi="ar"/>
              </w:rPr>
              <w:t>从区域来看，</w:t>
            </w:r>
            <w:r>
              <w:rPr>
                <w:rFonts w:hint="eastAsia" w:ascii="宋体" w:hAnsi="宋体" w:eastAsia="宋体" w:cs="宋体"/>
                <w:caps w:val="0"/>
                <w:spacing w:val="0"/>
                <w:kern w:val="0"/>
                <w:sz w:val="20"/>
                <w:szCs w:val="20"/>
                <w:lang w:val="en-US" w:eastAsia="zh-CN" w:bidi="ar"/>
              </w:rPr>
              <w:t>夷陵区9宗，点军区3宗，高新区3宗，西陵区1宗，伍家区1宗。</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本月出让的住宅及商业用地主要位于点军区和西陵区，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【宜土网挂（2015）33号】</w:t>
            </w:r>
            <w:r>
              <w:rPr>
                <w:rFonts w:hint="eastAsia" w:ascii="宋体" w:hAnsi="宋体" w:eastAsia="宋体" w:cs="宋体"/>
                <w:caps w:val="0"/>
                <w:spacing w:val="0"/>
                <w:kern w:val="0"/>
                <w:sz w:val="20"/>
                <w:szCs w:val="20"/>
                <w:lang w:val="en-US" w:eastAsia="zh-CN" w:bidi="ar"/>
              </w:rPr>
              <w:t>位于点军区点军大道北侧，用地面积56800.15平米，容积率2.0，预计未来放量11.3万方（只含地上建筑面积）；</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宜土网挂（2015）35号】</w:t>
            </w:r>
            <w:r>
              <w:rPr>
                <w:rFonts w:hint="eastAsia" w:ascii="宋体" w:hAnsi="宋体" w:eastAsia="宋体" w:cs="宋体"/>
                <w:caps w:val="0"/>
                <w:spacing w:val="0"/>
                <w:kern w:val="0"/>
                <w:sz w:val="20"/>
                <w:szCs w:val="20"/>
                <w:lang w:val="en-US" w:eastAsia="zh-CN" w:bidi="ar"/>
              </w:rPr>
              <w:t>位于点军大道与江南二路交汇处，用地面积101221.46平米，容积率2.2，预计未来放量22.3万方（只含地上建筑面积）；</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宜土网挂（2015）29号】</w:t>
            </w:r>
            <w:r>
              <w:rPr>
                <w:rFonts w:hint="eastAsia" w:ascii="宋体" w:hAnsi="宋体" w:eastAsia="宋体" w:cs="宋体"/>
                <w:caps w:val="0"/>
                <w:spacing w:val="0"/>
                <w:kern w:val="0"/>
                <w:sz w:val="20"/>
                <w:szCs w:val="20"/>
                <w:lang w:val="en-US" w:eastAsia="zh-CN" w:bidi="ar"/>
              </w:rPr>
              <w:t>位于西陵区沿江大道44号，用地面积10600.15平米，容积率5.9，预计未来放量6.3万方（只含地上建筑面积）。</w:t>
            </w:r>
          </w:p>
          <w:p>
            <w:pPr>
              <w:pStyle w:val="3"/>
              <w:keepNext w:val="0"/>
              <w:keepLines w:val="0"/>
              <w:widowControl/>
              <w:suppressLineNumbers w:val="0"/>
              <w:spacing w:line="24" w:lineRule="atLeast"/>
            </w:pPr>
            <w:r>
              <w:rPr>
                <w:rFonts w:hint="eastAsia" w:ascii="宋体" w:hAnsi="宋体" w:eastAsia="宋体" w:cs="宋体"/>
                <w:caps w:val="0"/>
                <w:spacing w:val="0"/>
                <w:sz w:val="20"/>
                <w:szCs w:val="20"/>
              </w:rPr>
              <w:t>   二、本月土地成交分析</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1、土地成交情况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本月成交地块5宗，成交面积59.2万方，成交总金额9.53亿元，成交均价为107.4万元/亩。环比来看，今年6月没有土地成交；与去年7月相比，土地成交面积减少了16.8万方，同比减少22%。</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7月成交地块详情</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334000" cy="933450"/>
                  <wp:effectExtent l="0" t="0" r="0" b="11430"/>
                  <wp:docPr id="1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IMG_265"/>
                          <pic:cNvPicPr>
                            <a:picLocks noChangeAspect="1"/>
                          </pic:cNvPicPr>
                        </pic:nvPicPr>
                        <pic:blipFill>
                          <a:blip r:embed="rId13"/>
                          <a:stretch>
                            <a:fillRect/>
                          </a:stretch>
                        </pic:blipFill>
                        <pic:spPr>
                          <a:xfrm>
                            <a:off x="0" y="0"/>
                            <a:ext cx="5334000" cy="9334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20"/>
                <w:szCs w:val="20"/>
                <w:lang w:val="en-US" w:eastAsia="zh-CN" w:bidi="ar"/>
              </w:rPr>
              <w:t>   2、成交土地特征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从用地性质来看，本月成交工业用地2宗，商住用地2宗，商业用地1宗；从区域来看，本月成交的地块有4宗位于宜昌高新区，1块位于猇亭区。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20"/>
                <w:szCs w:val="20"/>
                <w:lang w:val="en-US" w:eastAsia="zh-CN" w:bidi="ar"/>
              </w:rPr>
              <w:t>   3、本月成交重点地块介绍</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宜土网挂（2015）15号】，地块位于宜昌高新区生物产业园东临路南侧，规划用地性质为商住，由宜昌高新投资开发有限公司竟得，总占地面积143652.91平方米（215.48亩），容积率2.7，成交价111万元/亩，楼面地价616元/㎡。</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宜土网挂（2015）17号】，地块位于宜昌高新区生物产业园汉宜二路，规划用地性质为商业，由宜昌高新投资开发有限公司竟得，总占地面积21640.77平方米（32.46亩），容积率2.7，成交价155万元/亩，楼面地价859元/㎡。</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20"/>
                <w:szCs w:val="20"/>
                <w:lang w:val="en-US" w:eastAsia="zh-CN" w:bidi="ar"/>
              </w:rPr>
              <w:t>    4、2014年7月-2015年7月土地市场成交走势</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4800600" cy="2305050"/>
                  <wp:effectExtent l="0" t="0" r="0" b="11430"/>
                  <wp:docPr id="19"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IMG_266"/>
                          <pic:cNvPicPr>
                            <a:picLocks noChangeAspect="1"/>
                          </pic:cNvPicPr>
                        </pic:nvPicPr>
                        <pic:blipFill>
                          <a:blip r:embed="rId14"/>
                          <a:stretch>
                            <a:fillRect/>
                          </a:stretch>
                        </pic:blipFill>
                        <pic:spPr>
                          <a:xfrm>
                            <a:off x="0" y="0"/>
                            <a:ext cx="4800600" cy="23050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4800600" cy="2447925"/>
                  <wp:effectExtent l="0" t="0" r="0" b="5715"/>
                  <wp:docPr id="2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IMG_267"/>
                          <pic:cNvPicPr>
                            <a:picLocks noChangeAspect="1"/>
                          </pic:cNvPicPr>
                        </pic:nvPicPr>
                        <pic:blipFill>
                          <a:blip r:embed="rId15"/>
                          <a:stretch>
                            <a:fillRect/>
                          </a:stretch>
                        </pic:blipFill>
                        <pic:spPr>
                          <a:xfrm>
                            <a:off x="0" y="0"/>
                            <a:ext cx="4800600" cy="24479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如上图所示，土地成交面积自去年12月达到顶峰后一直处于滑落状态，而本月成交面积和成交价格较前几个月均有增加。</w:t>
            </w:r>
            <w:r>
              <w:rPr>
                <w:rFonts w:hint="eastAsia" w:ascii="宋体" w:hAnsi="宋体" w:eastAsia="宋体" w:cs="宋体"/>
                <w:b/>
                <w:caps w:val="0"/>
                <w:spacing w:val="0"/>
                <w:kern w:val="0"/>
                <w:sz w:val="20"/>
                <w:szCs w:val="20"/>
                <w:lang w:val="en-US" w:eastAsia="zh-CN" w:bidi="ar"/>
              </w:rPr>
              <w:t>5、6连续两个月没有土地成交,之前拿地库存在减少，加之利好政策对楼市产生积极影响，楼市有回暖迹象，致使开发商拿地热情增加。</w:t>
            </w:r>
          </w:p>
          <w:p>
            <w:pPr>
              <w:pStyle w:val="2"/>
              <w:keepNext w:val="0"/>
              <w:keepLines w:val="0"/>
              <w:widowControl/>
              <w:suppressLineNumbers w:val="0"/>
              <w:spacing w:line="24" w:lineRule="atLeast"/>
              <w:jc w:val="center"/>
            </w:pPr>
            <w:r>
              <w:rPr>
                <w:rFonts w:hint="eastAsia" w:ascii="宋体" w:hAnsi="宋体" w:eastAsia="宋体" w:cs="宋体"/>
                <w:caps w:val="0"/>
                <w:spacing w:val="0"/>
                <w:sz w:val="27"/>
                <w:szCs w:val="27"/>
              </w:rPr>
              <w:t>第三部分   各区楼市表现</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7"/>
                <w:szCs w:val="27"/>
                <w:lang w:val="en-US" w:eastAsia="zh-CN" w:bidi="ar"/>
              </w:rPr>
              <w:t>     </w:t>
            </w:r>
            <w:r>
              <w:rPr>
                <w:rFonts w:hint="eastAsia" w:ascii="宋体" w:hAnsi="宋体" w:eastAsia="宋体" w:cs="宋体"/>
                <w:b/>
                <w:caps w:val="0"/>
                <w:spacing w:val="0"/>
                <w:kern w:val="0"/>
                <w:sz w:val="20"/>
                <w:szCs w:val="20"/>
                <w:lang w:val="en-US" w:eastAsia="zh-CN" w:bidi="ar"/>
              </w:rPr>
              <w:t>宜昌楼市主要动态：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本月认筹项目有：</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繁荣世家2号楼认筹1万抵3万；</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中建·宜昌之星认筹5千抵5万；</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山水华庭4期认筹1万抵3万；</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香山·福久源21号楼认筹1万抵4万；</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宜化·新天地花园洋房认筹2万抵10万。</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本月新开盘项目有：</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弘洋·拉菲小镇6、8号楼7月5日开盘；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三峡文化天地·星钻7月26日开盘。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预计下月开盘项目有：</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东辰雅园1、5号楼8月份开盘；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香山·福久源21号楼预计8月开盘；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国宾壹号二期5、6号楼预计8月开盘。</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主城区其它重点项目动态：</w:t>
            </w:r>
            <w:bookmarkStart w:id="25" w:name="_Toc398024658"/>
            <w:bookmarkEnd w:id="25"/>
            <w:bookmarkStart w:id="26" w:name="_Toc384797625"/>
            <w:bookmarkEnd w:id="26"/>
            <w:bookmarkStart w:id="27" w:name="_Toc384797309"/>
            <w:bookmarkEnd w:id="27"/>
            <w:bookmarkStart w:id="28" w:name="_Toc384797227"/>
            <w:bookmarkEnd w:id="28"/>
            <w:bookmarkStart w:id="29" w:name="_Toc384796968"/>
            <w:bookmarkEnd w:id="29"/>
            <w:bookmarkStart w:id="30" w:name="_Toc380050041"/>
            <w:bookmarkEnd w:id="30"/>
            <w:bookmarkStart w:id="31" w:name="_Toc353178136"/>
            <w:bookmarkEnd w:id="31"/>
            <w:bookmarkStart w:id="32" w:name="_Toc347757549"/>
            <w:bookmarkEnd w:id="32"/>
            <w:bookmarkStart w:id="33" w:name="_Toc345167233"/>
            <w:bookmarkEnd w:id="33"/>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7月5日，中建·宜昌之星营销中心开放；</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7月8日，兴润·秋语台水上嘉年华开园；</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7月10日，中核·半岛城邦萌宠倾城活动；</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7月18日，国宾壹号DIY亲子烘培活动及自行车赛报名活动；</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7月18日，清江·尚玲珑举办盛夏派对之水果运动会；</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7月25日，宜化·新天地汽水狂欢爆米party；</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7月25日，华鹏·梧桐邑八合院景观示范区开放；</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7月26日，宜化·巴黎香颂多彩水果欢乐show。</w:t>
            </w:r>
          </w:p>
          <w:p>
            <w:pPr>
              <w:pStyle w:val="3"/>
              <w:keepNext w:val="0"/>
              <w:keepLines w:val="0"/>
              <w:widowControl/>
              <w:suppressLineNumbers w:val="0"/>
              <w:spacing w:line="24" w:lineRule="atLeast"/>
            </w:pPr>
            <w:r>
              <w:rPr>
                <w:rFonts w:hint="eastAsia" w:ascii="宋体" w:hAnsi="宋体" w:eastAsia="宋体" w:cs="宋体"/>
                <w:caps w:val="0"/>
                <w:spacing w:val="0"/>
                <w:sz w:val="20"/>
                <w:szCs w:val="20"/>
              </w:rPr>
              <w:t>      一、西陵区</w:t>
            </w:r>
          </w:p>
          <w:p>
            <w:pPr>
              <w:pStyle w:val="4"/>
              <w:keepNext w:val="0"/>
              <w:keepLines w:val="0"/>
              <w:widowControl/>
              <w:suppressLineNumbers w:val="0"/>
              <w:spacing w:line="24" w:lineRule="atLeast"/>
            </w:pPr>
            <w:r>
              <w:rPr>
                <w:rStyle w:val="7"/>
                <w:rFonts w:hint="eastAsia" w:ascii="宋体" w:hAnsi="宋体" w:eastAsia="宋体" w:cs="宋体"/>
                <w:caps w:val="0"/>
                <w:spacing w:val="0"/>
                <w:sz w:val="14"/>
                <w:szCs w:val="14"/>
              </w:rPr>
              <w:t>          区内主要楼盘动态</w:t>
            </w:r>
          </w:p>
          <w:p>
            <w:pPr>
              <w:pStyle w:val="4"/>
              <w:keepNext w:val="0"/>
              <w:keepLines w:val="0"/>
              <w:widowControl/>
              <w:suppressLineNumbers w:val="0"/>
              <w:spacing w:line="24" w:lineRule="atLeast"/>
            </w:pPr>
            <w:r>
              <w:rPr>
                <w:rFonts w:hint="eastAsia" w:ascii="宋体" w:hAnsi="宋体" w:eastAsia="宋体" w:cs="宋体"/>
                <w:caps w:val="0"/>
                <w:spacing w:val="0"/>
                <w:sz w:val="14"/>
                <w:szCs w:val="14"/>
              </w:rPr>
              <w:t>        </w:t>
            </w:r>
            <w:r>
              <w:rPr>
                <w:rFonts w:hint="eastAsia" w:ascii="宋体" w:hAnsi="宋体" w:eastAsia="宋体" w:cs="宋体"/>
                <w:caps w:val="0"/>
                <w:spacing w:val="0"/>
                <w:sz w:val="14"/>
                <w:szCs w:val="14"/>
              </w:rPr>
              <w:drawing>
                <wp:inline distT="0" distB="0" distL="114300" distR="114300">
                  <wp:extent cx="5334000" cy="3581400"/>
                  <wp:effectExtent l="0" t="0" r="0" b="0"/>
                  <wp:docPr id="18"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IMG_268"/>
                          <pic:cNvPicPr>
                            <a:picLocks noChangeAspect="1"/>
                          </pic:cNvPicPr>
                        </pic:nvPicPr>
                        <pic:blipFill>
                          <a:blip r:embed="rId16"/>
                          <a:stretch>
                            <a:fillRect/>
                          </a:stretch>
                        </pic:blipFill>
                        <pic:spPr>
                          <a:xfrm>
                            <a:off x="0" y="0"/>
                            <a:ext cx="5334000" cy="3581400"/>
                          </a:xfrm>
                          <a:prstGeom prst="rect">
                            <a:avLst/>
                          </a:prstGeom>
                          <a:noFill/>
                          <a:ln w="9525">
                            <a:noFill/>
                          </a:ln>
                        </pic:spPr>
                      </pic:pic>
                    </a:graphicData>
                  </a:graphic>
                </wp:inline>
              </w:drawing>
            </w:r>
          </w:p>
          <w:p>
            <w:pPr>
              <w:pStyle w:val="4"/>
              <w:keepNext w:val="0"/>
              <w:keepLines w:val="0"/>
              <w:widowControl/>
              <w:suppressLineNumbers w:val="0"/>
              <w:spacing w:line="24" w:lineRule="atLeast"/>
            </w:pPr>
            <w:r>
              <w:rPr>
                <w:rFonts w:hint="eastAsia" w:ascii="宋体" w:hAnsi="宋体" w:eastAsia="宋体" w:cs="宋体"/>
                <w:caps w:val="0"/>
                <w:spacing w:val="0"/>
                <w:sz w:val="14"/>
                <w:szCs w:val="14"/>
              </w:rPr>
              <w:t>       </w:t>
            </w:r>
            <w:r>
              <w:rPr>
                <w:rFonts w:hint="eastAsia" w:ascii="宋体" w:hAnsi="宋体" w:eastAsia="宋体" w:cs="宋体"/>
                <w:caps w:val="0"/>
                <w:spacing w:val="0"/>
                <w:sz w:val="14"/>
                <w:szCs w:val="14"/>
              </w:rPr>
              <w:drawing>
                <wp:inline distT="0" distB="0" distL="114300" distR="114300">
                  <wp:extent cx="2562225" cy="1733550"/>
                  <wp:effectExtent l="0" t="0" r="13335" b="3810"/>
                  <wp:docPr id="16"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IMG_269"/>
                          <pic:cNvPicPr>
                            <a:picLocks noChangeAspect="1"/>
                          </pic:cNvPicPr>
                        </pic:nvPicPr>
                        <pic:blipFill>
                          <a:blip r:embed="rId17"/>
                          <a:stretch>
                            <a:fillRect/>
                          </a:stretch>
                        </pic:blipFill>
                        <pic:spPr>
                          <a:xfrm>
                            <a:off x="0" y="0"/>
                            <a:ext cx="2562225" cy="1733550"/>
                          </a:xfrm>
                          <a:prstGeom prst="rect">
                            <a:avLst/>
                          </a:prstGeom>
                          <a:noFill/>
                          <a:ln w="9525">
                            <a:noFill/>
                          </a:ln>
                        </pic:spPr>
                      </pic:pic>
                    </a:graphicData>
                  </a:graphic>
                </wp:inline>
              </w:drawing>
            </w:r>
            <w:r>
              <w:rPr>
                <w:rFonts w:hint="eastAsia" w:ascii="宋体" w:hAnsi="宋体" w:eastAsia="宋体" w:cs="宋体"/>
                <w:caps w:val="0"/>
                <w:spacing w:val="0"/>
                <w:sz w:val="14"/>
                <w:szCs w:val="14"/>
              </w:rPr>
              <w:t>  </w:t>
            </w:r>
            <w:r>
              <w:rPr>
                <w:rFonts w:hint="eastAsia" w:ascii="宋体" w:hAnsi="宋体" w:eastAsia="宋体" w:cs="宋体"/>
                <w:caps w:val="0"/>
                <w:spacing w:val="0"/>
                <w:sz w:val="14"/>
                <w:szCs w:val="14"/>
              </w:rPr>
              <w:drawing>
                <wp:inline distT="0" distB="0" distL="114300" distR="114300">
                  <wp:extent cx="2705100" cy="1733550"/>
                  <wp:effectExtent l="0" t="0" r="7620" b="3810"/>
                  <wp:docPr id="21"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descr="IMG_270"/>
                          <pic:cNvPicPr>
                            <a:picLocks noChangeAspect="1"/>
                          </pic:cNvPicPr>
                        </pic:nvPicPr>
                        <pic:blipFill>
                          <a:blip r:embed="rId18"/>
                          <a:stretch>
                            <a:fillRect/>
                          </a:stretch>
                        </pic:blipFill>
                        <pic:spPr>
                          <a:xfrm>
                            <a:off x="0" y="0"/>
                            <a:ext cx="2705100" cy="1733550"/>
                          </a:xfrm>
                          <a:prstGeom prst="rect">
                            <a:avLst/>
                          </a:prstGeom>
                          <a:noFill/>
                          <a:ln w="9525">
                            <a:noFill/>
                          </a:ln>
                        </pic:spPr>
                      </pic:pic>
                    </a:graphicData>
                  </a:graphic>
                </wp:inline>
              </w:drawing>
            </w:r>
            <w:r>
              <w:rPr>
                <w:rStyle w:val="7"/>
                <w:rFonts w:hint="eastAsia" w:ascii="宋体" w:hAnsi="宋体" w:eastAsia="宋体" w:cs="宋体"/>
                <w:caps w:val="0"/>
                <w:spacing w:val="0"/>
                <w:sz w:val="20"/>
                <w:szCs w:val="20"/>
              </w:rPr>
              <w:t> </w:t>
            </w:r>
          </w:p>
          <w:p>
            <w:pPr>
              <w:pStyle w:val="4"/>
              <w:keepNext w:val="0"/>
              <w:keepLines w:val="0"/>
              <w:widowControl/>
              <w:suppressLineNumbers w:val="0"/>
              <w:spacing w:line="24" w:lineRule="atLeast"/>
            </w:pPr>
            <w:r>
              <w:rPr>
                <w:rStyle w:val="7"/>
                <w:rFonts w:hint="eastAsia" w:ascii="宋体" w:hAnsi="宋体" w:eastAsia="宋体" w:cs="宋体"/>
                <w:caps w:val="0"/>
                <w:spacing w:val="0"/>
                <w:sz w:val="20"/>
                <w:szCs w:val="20"/>
              </w:rPr>
              <w:t>         三峡文化天地·星钻夜景图                 弘洋·拉菲小镇项目鸟瞰图</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20"/>
                <w:szCs w:val="20"/>
                <w:lang w:val="en-US" w:eastAsia="zh-CN" w:bidi="ar"/>
              </w:rPr>
              <w:t>      二、伍家区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20"/>
                <w:szCs w:val="20"/>
                <w:lang w:val="en-US" w:eastAsia="zh-CN" w:bidi="ar"/>
              </w:rPr>
              <w:t>     1、区内主要楼盘动态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4667250" cy="5105400"/>
                  <wp:effectExtent l="0" t="0" r="11430" b="0"/>
                  <wp:docPr id="13"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IMG_271"/>
                          <pic:cNvPicPr>
                            <a:picLocks noChangeAspect="1"/>
                          </pic:cNvPicPr>
                        </pic:nvPicPr>
                        <pic:blipFill>
                          <a:blip r:embed="rId19"/>
                          <a:stretch>
                            <a:fillRect/>
                          </a:stretch>
                        </pic:blipFill>
                        <pic:spPr>
                          <a:xfrm>
                            <a:off x="0" y="0"/>
                            <a:ext cx="4667250" cy="51054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4667250" cy="4800600"/>
                  <wp:effectExtent l="0" t="0" r="11430" b="0"/>
                  <wp:docPr id="12"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descr="IMG_272"/>
                          <pic:cNvPicPr>
                            <a:picLocks noChangeAspect="1"/>
                          </pic:cNvPicPr>
                        </pic:nvPicPr>
                        <pic:blipFill>
                          <a:blip r:embed="rId20"/>
                          <a:stretch>
                            <a:fillRect/>
                          </a:stretch>
                        </pic:blipFill>
                        <pic:spPr>
                          <a:xfrm>
                            <a:off x="0" y="0"/>
                            <a:ext cx="4667250" cy="48006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2、区内重点项目调查</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□项目名称：</w:t>
            </w:r>
            <w:r>
              <w:rPr>
                <w:rFonts w:hint="eastAsia" w:ascii="宋体" w:hAnsi="宋体" w:eastAsia="宋体" w:cs="宋体"/>
                <w:caps w:val="0"/>
                <w:spacing w:val="0"/>
                <w:kern w:val="0"/>
                <w:sz w:val="20"/>
                <w:szCs w:val="20"/>
                <w:lang w:val="en-US" w:eastAsia="zh-CN" w:bidi="ar"/>
              </w:rPr>
              <w:t>中建·宜昌之星</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□地理位置：</w:t>
            </w:r>
            <w:r>
              <w:rPr>
                <w:rFonts w:hint="eastAsia" w:ascii="宋体" w:hAnsi="宋体" w:eastAsia="宋体" w:cs="宋体"/>
                <w:caps w:val="0"/>
                <w:spacing w:val="0"/>
                <w:kern w:val="0"/>
                <w:sz w:val="20"/>
                <w:szCs w:val="20"/>
                <w:lang w:val="en-US" w:eastAsia="zh-CN" w:bidi="ar"/>
              </w:rPr>
              <w:t>伍家岗区沿江大道与白沙路交汇处</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□开 发 商：</w:t>
            </w:r>
            <w:r>
              <w:rPr>
                <w:rFonts w:hint="eastAsia" w:ascii="宋体" w:hAnsi="宋体" w:eastAsia="宋体" w:cs="宋体"/>
                <w:caps w:val="0"/>
                <w:spacing w:val="0"/>
                <w:kern w:val="0"/>
                <w:sz w:val="20"/>
                <w:szCs w:val="20"/>
                <w:lang w:val="en-US" w:eastAsia="zh-CN" w:bidi="ar"/>
              </w:rPr>
              <w:t>中建三局投资发展公司</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□开发规模：</w:t>
            </w:r>
            <w:r>
              <w:rPr>
                <w:rFonts w:hint="eastAsia" w:ascii="宋体" w:hAnsi="宋体" w:eastAsia="宋体" w:cs="宋体"/>
                <w:caps w:val="0"/>
                <w:spacing w:val="0"/>
                <w:kern w:val="0"/>
                <w:sz w:val="20"/>
                <w:szCs w:val="20"/>
                <w:lang w:val="en-US" w:eastAsia="zh-CN" w:bidi="ar"/>
              </w:rPr>
              <w:t>占地面积50万方，总建筑面积约170万平米，其中住宅约100万平米，商业70万平米，投资额150亿元，住宅总户数10000户。</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□规划要点：</w:t>
            </w:r>
            <w:r>
              <w:rPr>
                <w:rFonts w:hint="eastAsia" w:ascii="宋体" w:hAnsi="宋体" w:eastAsia="宋体" w:cs="宋体"/>
                <w:caps w:val="0"/>
                <w:spacing w:val="0"/>
                <w:kern w:val="0"/>
                <w:sz w:val="20"/>
                <w:szCs w:val="20"/>
                <w:lang w:val="en-US" w:eastAsia="zh-CN" w:bidi="ar"/>
              </w:rPr>
              <w:t>规划有一栋300米超高层地标级建筑，配备裙楼会议中心、5A甲级写字楼和五星级酒店以及天际会所等。项目一期的位置在白沙路与江临路交汇处，总建筑面积25万方，由13栋高25-33层高层组成，容积率3.40，车位配比1:1。</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□主力户型</w:t>
            </w:r>
            <w:r>
              <w:rPr>
                <w:rFonts w:hint="eastAsia" w:ascii="宋体" w:hAnsi="宋体" w:eastAsia="宋体" w:cs="宋体"/>
                <w:caps w:val="0"/>
                <w:spacing w:val="0"/>
                <w:kern w:val="0"/>
                <w:sz w:val="20"/>
                <w:szCs w:val="20"/>
                <w:lang w:val="en-US" w:eastAsia="zh-CN" w:bidi="ar"/>
              </w:rPr>
              <w:t>：</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A:86㎡/2室2厅1卫         C:117㎡/3室2厅2卫          D:127㎡/3室2厅2卫</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1371600" cy="2133600"/>
                  <wp:effectExtent l="0" t="0" r="0" b="0"/>
                  <wp:docPr id="22"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descr="IMG_273"/>
                          <pic:cNvPicPr>
                            <a:picLocks noChangeAspect="1"/>
                          </pic:cNvPicPr>
                        </pic:nvPicPr>
                        <pic:blipFill>
                          <a:blip r:embed="rId21"/>
                          <a:stretch>
                            <a:fillRect/>
                          </a:stretch>
                        </pic:blipFill>
                        <pic:spPr>
                          <a:xfrm>
                            <a:off x="0" y="0"/>
                            <a:ext cx="1371600" cy="2133600"/>
                          </a:xfrm>
                          <a:prstGeom prst="rect">
                            <a:avLst/>
                          </a:prstGeom>
                          <a:noFill/>
                          <a:ln w="9525">
                            <a:noFill/>
                          </a:ln>
                        </pic:spPr>
                      </pic:pic>
                    </a:graphicData>
                  </a:graphic>
                </wp:inline>
              </w:drawing>
            </w: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1571625" cy="2133600"/>
                  <wp:effectExtent l="0" t="0" r="13335" b="0"/>
                  <wp:docPr id="15"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IMG_274"/>
                          <pic:cNvPicPr>
                            <a:picLocks noChangeAspect="1"/>
                          </pic:cNvPicPr>
                        </pic:nvPicPr>
                        <pic:blipFill>
                          <a:blip r:embed="rId22"/>
                          <a:stretch>
                            <a:fillRect/>
                          </a:stretch>
                        </pic:blipFill>
                        <pic:spPr>
                          <a:xfrm>
                            <a:off x="0" y="0"/>
                            <a:ext cx="1571625" cy="2133600"/>
                          </a:xfrm>
                          <a:prstGeom prst="rect">
                            <a:avLst/>
                          </a:prstGeom>
                          <a:noFill/>
                          <a:ln w="9525">
                            <a:noFill/>
                          </a:ln>
                        </pic:spPr>
                      </pic:pic>
                    </a:graphicData>
                  </a:graphic>
                </wp:inline>
              </w:drawing>
            </w: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1828800" cy="2133600"/>
                  <wp:effectExtent l="0" t="0" r="0" b="0"/>
                  <wp:docPr id="1"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descr="IMG_275"/>
                          <pic:cNvPicPr>
                            <a:picLocks noChangeAspect="1"/>
                          </pic:cNvPicPr>
                        </pic:nvPicPr>
                        <pic:blipFill>
                          <a:blip r:embed="rId23"/>
                          <a:stretch>
                            <a:fillRect/>
                          </a:stretch>
                        </pic:blipFill>
                        <pic:spPr>
                          <a:xfrm>
                            <a:off x="0" y="0"/>
                            <a:ext cx="1828800" cy="21336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□项目动态：</w:t>
            </w:r>
            <w:r>
              <w:rPr>
                <w:rFonts w:hint="eastAsia" w:ascii="宋体" w:hAnsi="宋体" w:eastAsia="宋体" w:cs="宋体"/>
                <w:caps w:val="0"/>
                <w:spacing w:val="0"/>
                <w:kern w:val="0"/>
                <w:sz w:val="20"/>
                <w:szCs w:val="20"/>
                <w:lang w:val="en-US" w:eastAsia="zh-CN" w:bidi="ar"/>
              </w:rPr>
              <w:t>6月20日</w:t>
            </w:r>
            <w:r>
              <w:rPr>
                <w:rFonts w:hint="eastAsia" w:ascii="宋体" w:hAnsi="宋体" w:eastAsia="宋体" w:cs="宋体"/>
                <w:b/>
                <w:caps w:val="0"/>
                <w:spacing w:val="0"/>
                <w:kern w:val="0"/>
                <w:sz w:val="20"/>
                <w:szCs w:val="20"/>
                <w:lang w:val="en-US" w:eastAsia="zh-CN" w:bidi="ar"/>
              </w:rPr>
              <w:t>11县市城市展厅</w:t>
            </w:r>
            <w:r>
              <w:rPr>
                <w:rFonts w:hint="eastAsia" w:ascii="宋体" w:hAnsi="宋体" w:eastAsia="宋体" w:cs="宋体"/>
                <w:caps w:val="0"/>
                <w:spacing w:val="0"/>
                <w:kern w:val="0"/>
                <w:sz w:val="20"/>
                <w:szCs w:val="20"/>
                <w:lang w:val="en-US" w:eastAsia="zh-CN" w:bidi="ar"/>
              </w:rPr>
              <w:t>同步开放；7月5日营销中心开放；</w:t>
            </w:r>
            <w:r>
              <w:rPr>
                <w:rFonts w:hint="eastAsia" w:ascii="宋体" w:hAnsi="宋体" w:eastAsia="宋体" w:cs="宋体"/>
                <w:b/>
                <w:caps w:val="0"/>
                <w:spacing w:val="0"/>
                <w:kern w:val="0"/>
                <w:sz w:val="20"/>
                <w:szCs w:val="20"/>
                <w:lang w:val="en-US" w:eastAsia="zh-CN" w:bidi="ar"/>
              </w:rPr>
              <w:t>7月18日</w:t>
            </w:r>
            <w:r>
              <w:rPr>
                <w:rFonts w:hint="eastAsia" w:ascii="宋体" w:hAnsi="宋体" w:eastAsia="宋体" w:cs="宋体"/>
                <w:caps w:val="0"/>
                <w:spacing w:val="0"/>
                <w:kern w:val="0"/>
                <w:sz w:val="20"/>
                <w:szCs w:val="20"/>
                <w:lang w:val="en-US" w:eastAsia="zh-CN" w:bidi="ar"/>
              </w:rPr>
              <w:t>启动</w:t>
            </w:r>
            <w:r>
              <w:rPr>
                <w:rFonts w:hint="eastAsia" w:ascii="宋体" w:hAnsi="宋体" w:eastAsia="宋体" w:cs="宋体"/>
                <w:b/>
                <w:caps w:val="0"/>
                <w:spacing w:val="0"/>
                <w:kern w:val="0"/>
                <w:sz w:val="20"/>
                <w:szCs w:val="20"/>
                <w:lang w:val="en-US" w:eastAsia="zh-CN" w:bidi="ar"/>
              </w:rPr>
              <w:t>认筹</w:t>
            </w:r>
            <w:r>
              <w:rPr>
                <w:rFonts w:hint="eastAsia" w:ascii="宋体" w:hAnsi="宋体" w:eastAsia="宋体" w:cs="宋体"/>
                <w:caps w:val="0"/>
                <w:spacing w:val="0"/>
                <w:kern w:val="0"/>
                <w:sz w:val="20"/>
                <w:szCs w:val="20"/>
                <w:lang w:val="en-US" w:eastAsia="zh-CN" w:bidi="ar"/>
              </w:rPr>
              <w:t>，</w:t>
            </w:r>
            <w:r>
              <w:rPr>
                <w:rFonts w:hint="eastAsia" w:ascii="宋体" w:hAnsi="宋体" w:eastAsia="宋体" w:cs="宋体"/>
                <w:b/>
                <w:caps w:val="0"/>
                <w:spacing w:val="0"/>
                <w:kern w:val="0"/>
                <w:sz w:val="20"/>
                <w:szCs w:val="20"/>
                <w:lang w:val="en-US" w:eastAsia="zh-CN" w:bidi="ar"/>
              </w:rPr>
              <w:t>5000抵50000</w:t>
            </w:r>
            <w:r>
              <w:rPr>
                <w:rFonts w:hint="eastAsia" w:ascii="宋体" w:hAnsi="宋体" w:eastAsia="宋体" w:cs="宋体"/>
                <w:caps w:val="0"/>
                <w:spacing w:val="0"/>
                <w:kern w:val="0"/>
                <w:sz w:val="20"/>
                <w:szCs w:val="20"/>
                <w:lang w:val="en-US" w:eastAsia="zh-CN" w:bidi="ar"/>
              </w:rPr>
              <w:t>，认筹截止到8月8日，当天还有</w:t>
            </w:r>
            <w:r>
              <w:rPr>
                <w:rFonts w:hint="eastAsia" w:ascii="宋体" w:hAnsi="宋体" w:eastAsia="宋体" w:cs="宋体"/>
                <w:b/>
                <w:caps w:val="0"/>
                <w:spacing w:val="0"/>
                <w:kern w:val="0"/>
                <w:sz w:val="20"/>
                <w:szCs w:val="20"/>
                <w:lang w:val="en-US" w:eastAsia="zh-CN" w:bidi="ar"/>
              </w:rPr>
              <w:t>冰雪世界开园</w:t>
            </w:r>
            <w:r>
              <w:rPr>
                <w:rFonts w:hint="eastAsia" w:ascii="宋体" w:hAnsi="宋体" w:eastAsia="宋体" w:cs="宋体"/>
                <w:caps w:val="0"/>
                <w:spacing w:val="0"/>
                <w:kern w:val="0"/>
                <w:sz w:val="20"/>
                <w:szCs w:val="20"/>
                <w:lang w:val="en-US" w:eastAsia="zh-CN" w:bidi="ar"/>
              </w:rPr>
              <w:t>、</w:t>
            </w:r>
            <w:r>
              <w:rPr>
                <w:rFonts w:hint="eastAsia" w:ascii="宋体" w:hAnsi="宋体" w:eastAsia="宋体" w:cs="宋体"/>
                <w:b/>
                <w:caps w:val="0"/>
                <w:spacing w:val="0"/>
                <w:kern w:val="0"/>
                <w:sz w:val="20"/>
                <w:szCs w:val="20"/>
                <w:lang w:val="en-US" w:eastAsia="zh-CN" w:bidi="ar"/>
              </w:rPr>
              <w:t>中建之夜全明星演唱会</w:t>
            </w:r>
            <w:r>
              <w:rPr>
                <w:rFonts w:hint="eastAsia" w:ascii="宋体" w:hAnsi="宋体" w:eastAsia="宋体" w:cs="宋体"/>
                <w:caps w:val="0"/>
                <w:spacing w:val="0"/>
                <w:kern w:val="0"/>
                <w:sz w:val="20"/>
                <w:szCs w:val="20"/>
                <w:lang w:val="en-US" w:eastAsia="zh-CN" w:bidi="ar"/>
              </w:rPr>
              <w:t>的活动；8月9日开始8元赢首付抽奖。</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□项目点评：</w:t>
            </w:r>
            <w:r>
              <w:rPr>
                <w:rFonts w:hint="eastAsia" w:ascii="宋体" w:hAnsi="宋体" w:eastAsia="宋体" w:cs="宋体"/>
                <w:caps w:val="0"/>
                <w:spacing w:val="0"/>
                <w:kern w:val="0"/>
                <w:sz w:val="20"/>
                <w:szCs w:val="20"/>
                <w:lang w:val="en-US" w:eastAsia="zh-CN" w:bidi="ar"/>
              </w:rPr>
              <w:t>项目位于伍家岗区沿江大道与白沙路交汇处，享滨江资源，地理位置优越，交通便捷，配套齐全；中建三局，实力保障</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Style w:val="7"/>
                <w:rFonts w:hint="eastAsia" w:ascii="宋体" w:hAnsi="宋体" w:eastAsia="宋体" w:cs="宋体"/>
                <w:caps w:val="0"/>
                <w:spacing w:val="0"/>
                <w:kern w:val="0"/>
                <w:sz w:val="20"/>
                <w:szCs w:val="20"/>
                <w:lang w:val="en-US" w:eastAsia="zh-CN" w:bidi="ar"/>
              </w:rPr>
              <w:t>三、高新区</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20"/>
                <w:szCs w:val="20"/>
                <w:lang w:eastAsia="zh-CN" w:bidi="ar"/>
              </w:rPr>
              <w:t>    1、区内主要楼盘动态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5334000" cy="5829300"/>
                  <wp:effectExtent l="0" t="0" r="0" b="7620"/>
                  <wp:docPr id="14"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1" descr="IMG_276"/>
                          <pic:cNvPicPr>
                            <a:picLocks noChangeAspect="1"/>
                          </pic:cNvPicPr>
                        </pic:nvPicPr>
                        <pic:blipFill>
                          <a:blip r:embed="rId24"/>
                          <a:stretch>
                            <a:fillRect/>
                          </a:stretch>
                        </pic:blipFill>
                        <pic:spPr>
                          <a:xfrm>
                            <a:off x="0" y="0"/>
                            <a:ext cx="5334000" cy="58293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2、区内重点项目调查</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□项目名称：</w:t>
            </w:r>
            <w:r>
              <w:rPr>
                <w:rFonts w:hint="eastAsia" w:ascii="宋体" w:hAnsi="宋体" w:eastAsia="宋体" w:cs="宋体"/>
                <w:caps w:val="0"/>
                <w:spacing w:val="0"/>
                <w:kern w:val="0"/>
                <w:sz w:val="20"/>
                <w:szCs w:val="20"/>
                <w:lang w:val="en-US" w:eastAsia="zh-CN" w:bidi="ar"/>
              </w:rPr>
              <w:t>弘洋·拉菲小镇</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□地理位置：</w:t>
            </w:r>
            <w:r>
              <w:rPr>
                <w:rFonts w:hint="eastAsia" w:ascii="宋体" w:hAnsi="宋体" w:eastAsia="宋体" w:cs="宋体"/>
                <w:caps w:val="0"/>
                <w:spacing w:val="0"/>
                <w:kern w:val="0"/>
                <w:sz w:val="20"/>
                <w:szCs w:val="20"/>
                <w:lang w:val="en-US" w:eastAsia="zh-CN" w:bidi="ar"/>
              </w:rPr>
              <w:t>西陵区西陵二路延伸段与东山四路交汇处</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□开 发 商：</w:t>
            </w:r>
            <w:r>
              <w:rPr>
                <w:rFonts w:hint="eastAsia" w:ascii="宋体" w:hAnsi="宋体" w:eastAsia="宋体" w:cs="宋体"/>
                <w:caps w:val="0"/>
                <w:spacing w:val="0"/>
                <w:kern w:val="0"/>
                <w:sz w:val="20"/>
                <w:szCs w:val="20"/>
                <w:lang w:val="en-US" w:eastAsia="zh-CN" w:bidi="ar"/>
              </w:rPr>
              <w:t>弘洋地产</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□开发规模：</w:t>
            </w:r>
            <w:r>
              <w:rPr>
                <w:rFonts w:hint="eastAsia" w:ascii="宋体" w:hAnsi="宋体" w:eastAsia="宋体" w:cs="宋体"/>
                <w:caps w:val="0"/>
                <w:spacing w:val="0"/>
                <w:kern w:val="0"/>
                <w:sz w:val="20"/>
                <w:szCs w:val="20"/>
                <w:lang w:val="en-US" w:eastAsia="zh-CN" w:bidi="ar"/>
              </w:rPr>
              <w:t> 项目占地面积6.4万方，总建筑面积24.7万方，总户数1852户，停车位1490个（其中地上149个，地下1341个），容积率2.90。</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□规划要点：</w:t>
            </w:r>
            <w:r>
              <w:rPr>
                <w:rFonts w:hint="eastAsia" w:ascii="宋体" w:hAnsi="宋体" w:eastAsia="宋体" w:cs="宋体"/>
                <w:caps w:val="0"/>
                <w:spacing w:val="0"/>
                <w:kern w:val="0"/>
                <w:sz w:val="20"/>
                <w:szCs w:val="20"/>
                <w:lang w:val="en-US" w:eastAsia="zh-CN" w:bidi="ar"/>
              </w:rPr>
              <w:t>项目分两期开发，共27栋，由8栋32/33层的高层住宅和19栋3层的花园洋房组成。</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□项目理念：</w:t>
            </w:r>
            <w:r>
              <w:rPr>
                <w:rFonts w:hint="eastAsia" w:ascii="宋体" w:hAnsi="宋体" w:eastAsia="宋体" w:cs="宋体"/>
                <w:caps w:val="0"/>
                <w:spacing w:val="0"/>
                <w:kern w:val="0"/>
                <w:sz w:val="20"/>
                <w:szCs w:val="20"/>
                <w:lang w:val="en-US" w:eastAsia="zh-CN" w:bidi="ar"/>
              </w:rPr>
              <w:t>打造无压力青春社区, 极具性价比的户型设计理念为置业者最大限度降低其置业压力，塑造幸福生活。</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b/>
                <w:caps w:val="0"/>
                <w:spacing w:val="0"/>
                <w:kern w:val="0"/>
                <w:sz w:val="20"/>
                <w:szCs w:val="20"/>
                <w:lang w:val="en-US" w:eastAsia="zh-CN" w:bidi="ar"/>
              </w:rPr>
              <w:t>    □主力户型</w:t>
            </w:r>
            <w:r>
              <w:rPr>
                <w:rFonts w:hint="eastAsia" w:ascii="宋体" w:hAnsi="宋体" w:eastAsia="宋体" w:cs="宋体"/>
                <w:caps w:val="0"/>
                <w:spacing w:val="0"/>
                <w:kern w:val="0"/>
                <w:sz w:val="20"/>
                <w:szCs w:val="20"/>
                <w:lang w:val="en-US" w:eastAsia="zh-CN" w:bidi="ar"/>
              </w:rPr>
              <w:t>：</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20"/>
                <w:szCs w:val="20"/>
                <w:lang w:val="en-US" w:eastAsia="zh-CN" w:bidi="ar"/>
              </w:rPr>
              <w:t>        A5:68㎡（2室2厅1卫）                A2:88㎡（3室2厅1卫）     A1:113㎡（3室2厅2卫）</w:t>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r>
              <w:rPr>
                <w:rFonts w:hint="eastAsia" w:ascii="宋体" w:hAnsi="宋体" w:eastAsia="宋体" w:cs="宋体"/>
                <w:caps w:val="0"/>
                <w:spacing w:val="0"/>
                <w:kern w:val="0"/>
                <w:sz w:val="14"/>
                <w:szCs w:val="14"/>
                <w:lang w:val="en-US" w:eastAsia="zh-CN" w:bidi="ar"/>
              </w:rPr>
              <w:drawing>
                <wp:inline distT="0" distB="0" distL="114300" distR="114300">
                  <wp:extent cx="2409825" cy="1866900"/>
                  <wp:effectExtent l="0" t="0" r="13335" b="7620"/>
                  <wp:docPr id="3"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descr="IMG_277"/>
                          <pic:cNvPicPr>
                            <a:picLocks noChangeAspect="1"/>
                          </pic:cNvPicPr>
                        </pic:nvPicPr>
                        <pic:blipFill>
                          <a:blip r:embed="rId25"/>
                          <a:stretch>
                            <a:fillRect/>
                          </a:stretch>
                        </pic:blipFill>
                        <pic:spPr>
                          <a:xfrm>
                            <a:off x="0" y="0"/>
                            <a:ext cx="2409825" cy="1866900"/>
                          </a:xfrm>
                          <a:prstGeom prst="rect">
                            <a:avLst/>
                          </a:prstGeom>
                          <a:noFill/>
                          <a:ln w="9525">
                            <a:noFill/>
                          </a:ln>
                        </pic:spPr>
                      </pic:pic>
                    </a:graphicData>
                  </a:graphic>
                </wp:inline>
              </w:drawing>
            </w: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1476375" cy="1866900"/>
                  <wp:effectExtent l="0" t="0" r="1905" b="7620"/>
                  <wp:docPr id="26"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descr="IMG_278"/>
                          <pic:cNvPicPr>
                            <a:picLocks noChangeAspect="1"/>
                          </pic:cNvPicPr>
                        </pic:nvPicPr>
                        <pic:blipFill>
                          <a:blip r:embed="rId26"/>
                          <a:stretch>
                            <a:fillRect/>
                          </a:stretch>
                        </pic:blipFill>
                        <pic:spPr>
                          <a:xfrm>
                            <a:off x="0" y="0"/>
                            <a:ext cx="1476375" cy="1866900"/>
                          </a:xfrm>
                          <a:prstGeom prst="rect">
                            <a:avLst/>
                          </a:prstGeom>
                          <a:noFill/>
                          <a:ln w="9525">
                            <a:noFill/>
                          </a:ln>
                        </pic:spPr>
                      </pic:pic>
                    </a:graphicData>
                  </a:graphic>
                </wp:inline>
              </w:drawing>
            </w: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1438275" cy="1866900"/>
                  <wp:effectExtent l="0" t="0" r="9525" b="7620"/>
                  <wp:docPr id="41"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4" descr="IMG_279"/>
                          <pic:cNvPicPr>
                            <a:picLocks noChangeAspect="1"/>
                          </pic:cNvPicPr>
                        </pic:nvPicPr>
                        <pic:blipFill>
                          <a:blip r:embed="rId27"/>
                          <a:stretch>
                            <a:fillRect/>
                          </a:stretch>
                        </pic:blipFill>
                        <pic:spPr>
                          <a:xfrm>
                            <a:off x="0" y="0"/>
                            <a:ext cx="1438275" cy="18669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14"/>
                <w:szCs w:val="14"/>
              </w:rPr>
            </w:pPr>
            <w:r>
              <w:rPr>
                <w:rStyle w:val="7"/>
                <w:rFonts w:hint="eastAsia" w:ascii="宋体" w:hAnsi="宋体" w:eastAsia="宋体" w:cs="宋体"/>
                <w:caps w:val="0"/>
                <w:spacing w:val="0"/>
                <w:kern w:val="0"/>
                <w:sz w:val="20"/>
                <w:szCs w:val="20"/>
                <w:lang w:val="en-US" w:eastAsia="zh-CN" w:bidi="ar"/>
              </w:rPr>
              <w:t>    □销售动态：</w:t>
            </w:r>
            <w:r>
              <w:rPr>
                <w:rFonts w:hint="eastAsia" w:ascii="宋体" w:hAnsi="宋体" w:eastAsia="宋体" w:cs="宋体"/>
                <w:caps w:val="0"/>
                <w:spacing w:val="0"/>
                <w:kern w:val="0"/>
                <w:sz w:val="20"/>
                <w:szCs w:val="20"/>
                <w:lang w:val="en-US" w:eastAsia="zh-CN" w:bidi="ar"/>
              </w:rPr>
              <w:t>2015年</w:t>
            </w:r>
            <w:r>
              <w:rPr>
                <w:rFonts w:hint="eastAsia" w:ascii="宋体" w:hAnsi="宋体" w:eastAsia="宋体" w:cs="宋体"/>
                <w:b/>
                <w:caps w:val="0"/>
                <w:spacing w:val="0"/>
                <w:kern w:val="0"/>
                <w:sz w:val="20"/>
                <w:szCs w:val="20"/>
                <w:lang w:val="en-US" w:eastAsia="zh-CN" w:bidi="ar"/>
              </w:rPr>
              <w:t>4月6日，7号楼针对农行员工团购开盘</w:t>
            </w:r>
            <w:r>
              <w:rPr>
                <w:rFonts w:hint="eastAsia" w:ascii="宋体" w:hAnsi="宋体" w:eastAsia="宋体" w:cs="宋体"/>
                <w:caps w:val="0"/>
                <w:spacing w:val="0"/>
                <w:kern w:val="0"/>
                <w:sz w:val="20"/>
                <w:szCs w:val="20"/>
                <w:lang w:val="en-US" w:eastAsia="zh-CN" w:bidi="ar"/>
              </w:rPr>
              <w:t>，交20万捆绑车位，253套房源备案151套，去化率60%，备案均价4150元/㎡；2015年</w:t>
            </w:r>
            <w:r>
              <w:rPr>
                <w:rFonts w:hint="eastAsia" w:ascii="宋体" w:hAnsi="宋体" w:eastAsia="宋体" w:cs="宋体"/>
                <w:b/>
                <w:caps w:val="0"/>
                <w:spacing w:val="0"/>
                <w:kern w:val="0"/>
                <w:sz w:val="20"/>
                <w:szCs w:val="20"/>
                <w:lang w:val="en-US" w:eastAsia="zh-CN" w:bidi="ar"/>
              </w:rPr>
              <w:t>6月28日，营销中心开放同时启动认筹</w:t>
            </w:r>
            <w:r>
              <w:rPr>
                <w:rFonts w:hint="eastAsia" w:ascii="宋体" w:hAnsi="宋体" w:eastAsia="宋体" w:cs="宋体"/>
                <w:caps w:val="0"/>
                <w:spacing w:val="0"/>
                <w:kern w:val="0"/>
                <w:sz w:val="20"/>
                <w:szCs w:val="20"/>
                <w:lang w:val="en-US" w:eastAsia="zh-CN" w:bidi="ar"/>
              </w:rPr>
              <w:t>，交2千抵2万加VIP卡优惠5千； 2015年</w:t>
            </w:r>
            <w:r>
              <w:rPr>
                <w:rFonts w:hint="eastAsia" w:ascii="宋体" w:hAnsi="宋体" w:eastAsia="宋体" w:cs="宋体"/>
                <w:b/>
                <w:caps w:val="0"/>
                <w:spacing w:val="0"/>
                <w:kern w:val="0"/>
                <w:sz w:val="20"/>
                <w:szCs w:val="20"/>
                <w:lang w:val="en-US" w:eastAsia="zh-CN" w:bidi="ar"/>
              </w:rPr>
              <w:t>7月5日，6、8号楼开盘 ，330套房源备案57套，去化率17%，备案均价4280元/㎡。</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b/>
                <w:caps w:val="0"/>
                <w:spacing w:val="0"/>
                <w:kern w:val="0"/>
                <w:sz w:val="20"/>
                <w:szCs w:val="20"/>
                <w:lang w:val="en-US" w:eastAsia="zh-CN" w:bidi="ar"/>
              </w:rPr>
              <w:t>    □项目点评：</w:t>
            </w:r>
            <w:r>
              <w:rPr>
                <w:rFonts w:hint="eastAsia" w:ascii="宋体" w:hAnsi="宋体" w:eastAsia="宋体" w:cs="宋体"/>
                <w:caps w:val="0"/>
                <w:spacing w:val="0"/>
                <w:kern w:val="0"/>
                <w:sz w:val="20"/>
                <w:szCs w:val="20"/>
                <w:lang w:val="en-US" w:eastAsia="zh-CN" w:bidi="ar"/>
              </w:rPr>
              <w:t>项目位于西陵区第一条快速路西陵二路与东山四路的交汇处，唐家湾新城片区，发展潜力大；弘洋地产打造，品牌实力保障；紧凑型面积，置业门槛低。但目前项目位置较偏，周边无大型社区和商业配套，居住氛围不浓，配套不齐，生活不便。</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Style w:val="7"/>
                <w:rFonts w:hint="eastAsia" w:ascii="宋体" w:hAnsi="宋体" w:eastAsia="宋体" w:cs="宋体"/>
                <w:caps w:val="0"/>
                <w:spacing w:val="0"/>
                <w:kern w:val="0"/>
                <w:sz w:val="20"/>
                <w:szCs w:val="20"/>
                <w:lang w:val="en-US" w:eastAsia="zh-CN" w:bidi="ar"/>
              </w:rPr>
              <w:t>   四、夷陵区</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Style w:val="7"/>
                <w:rFonts w:hint="eastAsia" w:ascii="宋体" w:hAnsi="宋体" w:eastAsia="宋体" w:cs="宋体"/>
                <w:caps w:val="0"/>
                <w:spacing w:val="0"/>
                <w:kern w:val="0"/>
                <w:sz w:val="20"/>
                <w:szCs w:val="20"/>
                <w:lang w:val="en-US" w:eastAsia="zh-CN" w:bidi="ar"/>
              </w:rPr>
              <w:t>   区内主要楼盘动态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4800600" cy="5334000"/>
                  <wp:effectExtent l="0" t="0" r="0" b="0"/>
                  <wp:docPr id="24"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descr="IMG_280"/>
                          <pic:cNvPicPr>
                            <a:picLocks noChangeAspect="1"/>
                          </pic:cNvPicPr>
                        </pic:nvPicPr>
                        <pic:blipFill>
                          <a:blip r:embed="rId28"/>
                          <a:stretch>
                            <a:fillRect/>
                          </a:stretch>
                        </pic:blipFill>
                        <pic:spPr>
                          <a:xfrm>
                            <a:off x="0" y="0"/>
                            <a:ext cx="4800600" cy="53340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Style w:val="7"/>
                <w:rFonts w:hint="eastAsia" w:ascii="宋体" w:hAnsi="宋体" w:eastAsia="宋体" w:cs="宋体"/>
                <w:caps w:val="0"/>
                <w:spacing w:val="0"/>
                <w:kern w:val="0"/>
                <w:sz w:val="20"/>
                <w:szCs w:val="20"/>
                <w:lang w:val="en-US" w:eastAsia="zh-CN" w:bidi="ar"/>
              </w:rPr>
              <w:t>    五、点军区</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Style w:val="7"/>
                <w:rFonts w:hint="eastAsia" w:ascii="宋体" w:hAnsi="宋体" w:eastAsia="宋体" w:cs="宋体"/>
                <w:caps w:val="0"/>
                <w:spacing w:val="0"/>
                <w:kern w:val="0"/>
                <w:sz w:val="20"/>
                <w:szCs w:val="20"/>
                <w:lang w:val="en-US" w:eastAsia="zh-CN" w:bidi="ar"/>
              </w:rPr>
              <w:t>    区内主要楼盘动态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5334000" cy="2981325"/>
                  <wp:effectExtent l="0" t="0" r="0" b="5715"/>
                  <wp:docPr id="33"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descr="IMG_281"/>
                          <pic:cNvPicPr>
                            <a:picLocks noChangeAspect="1"/>
                          </pic:cNvPicPr>
                        </pic:nvPicPr>
                        <pic:blipFill>
                          <a:blip r:embed="rId29"/>
                          <a:stretch>
                            <a:fillRect/>
                          </a:stretch>
                        </pic:blipFill>
                        <pic:spPr>
                          <a:xfrm>
                            <a:off x="0" y="0"/>
                            <a:ext cx="5334000" cy="29813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Style w:val="7"/>
                <w:rFonts w:hint="eastAsia" w:ascii="宋体" w:hAnsi="宋体" w:eastAsia="宋体" w:cs="宋体"/>
                <w:caps w:val="0"/>
                <w:spacing w:val="0"/>
                <w:kern w:val="0"/>
                <w:sz w:val="20"/>
                <w:szCs w:val="20"/>
                <w:lang w:val="en-US" w:eastAsia="zh-CN" w:bidi="ar"/>
              </w:rPr>
              <w:t>    六、猇亭区</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Style w:val="7"/>
                <w:rFonts w:hint="eastAsia" w:ascii="宋体" w:hAnsi="宋体" w:eastAsia="宋体" w:cs="宋体"/>
                <w:caps w:val="0"/>
                <w:spacing w:val="0"/>
                <w:kern w:val="0"/>
                <w:sz w:val="20"/>
                <w:szCs w:val="20"/>
                <w:lang w:val="en-US" w:eastAsia="zh-CN" w:bidi="ar"/>
              </w:rPr>
              <w:t>    区内主要楼盘动态</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5334000" cy="2514600"/>
                  <wp:effectExtent l="0" t="0" r="0" b="0"/>
                  <wp:docPr id="40"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descr="IMG_282"/>
                          <pic:cNvPicPr>
                            <a:picLocks noChangeAspect="1"/>
                          </pic:cNvPicPr>
                        </pic:nvPicPr>
                        <pic:blipFill>
                          <a:blip r:embed="rId30"/>
                          <a:stretch>
                            <a:fillRect/>
                          </a:stretch>
                        </pic:blipFill>
                        <pic:spPr>
                          <a:xfrm>
                            <a:off x="0" y="0"/>
                            <a:ext cx="5334000" cy="2514600"/>
                          </a:xfrm>
                          <a:prstGeom prst="rect">
                            <a:avLst/>
                          </a:prstGeom>
                          <a:noFill/>
                          <a:ln w="9525">
                            <a:noFill/>
                          </a:ln>
                        </pic:spPr>
                      </pic:pic>
                    </a:graphicData>
                  </a:graphic>
                </wp:inline>
              </w:drawing>
            </w:r>
          </w:p>
          <w:p>
            <w:pPr>
              <w:pStyle w:val="2"/>
              <w:keepNext w:val="0"/>
              <w:keepLines w:val="0"/>
              <w:widowControl/>
              <w:suppressLineNumbers w:val="0"/>
              <w:spacing w:line="24" w:lineRule="atLeast"/>
              <w:jc w:val="center"/>
            </w:pPr>
            <w:r>
              <w:rPr>
                <w:rFonts w:hint="eastAsia" w:ascii="宋体" w:hAnsi="宋体" w:eastAsia="宋体" w:cs="宋体"/>
                <w:caps w:val="0"/>
                <w:spacing w:val="0"/>
                <w:sz w:val="27"/>
                <w:szCs w:val="27"/>
              </w:rPr>
              <w:t>第四部分   媒体监测</w:t>
            </w:r>
          </w:p>
          <w:p>
            <w:pPr>
              <w:pStyle w:val="3"/>
              <w:keepNext w:val="0"/>
              <w:keepLines w:val="0"/>
              <w:widowControl/>
              <w:suppressLineNumbers w:val="0"/>
              <w:spacing w:line="24" w:lineRule="atLeast"/>
              <w:jc w:val="left"/>
            </w:pPr>
            <w:bookmarkStart w:id="34" w:name="_Toc398024665"/>
            <w:bookmarkEnd w:id="34"/>
            <w:bookmarkStart w:id="35" w:name="_Toc380050048"/>
            <w:bookmarkEnd w:id="35"/>
            <w:bookmarkStart w:id="36" w:name="_Toc353178142"/>
            <w:bookmarkEnd w:id="36"/>
            <w:bookmarkStart w:id="37" w:name="_Toc347757555"/>
            <w:bookmarkEnd w:id="37"/>
            <w:r>
              <w:rPr>
                <w:caps w:val="0"/>
                <w:spacing w:val="0"/>
              </w:rPr>
              <w:t>    </w:t>
            </w:r>
            <w:bookmarkStart w:id="38" w:name="_Toc345167239"/>
            <w:r>
              <w:rPr>
                <w:rFonts w:hint="eastAsia" w:ascii="宋体" w:hAnsi="宋体" w:eastAsia="宋体" w:cs="宋体"/>
                <w:caps w:val="0"/>
                <w:spacing w:val="0"/>
                <w:sz w:val="20"/>
                <w:szCs w:val="20"/>
              </w:rPr>
              <w:t>一、纸媒投放情况</w:t>
            </w:r>
            <w:bookmarkEnd w:id="38"/>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0"/>
                <w:szCs w:val="20"/>
                <w:lang w:val="en-US" w:eastAsia="zh-CN" w:bidi="ar"/>
              </w:rPr>
              <w:t>    本月截止到31日，共有14个地产项目投放报纸广告，与上月持平，本月纸媒投放数量共计103篇，环比增加21篇。本月广告投放量较大的主要有中建·宜昌之星、星钻、宜昌恒大绿洲、恒大帝景、江山多娇以及弘洋·拉菲小镇等楼盘。</w:t>
            </w:r>
          </w:p>
          <w:p>
            <w:pPr>
              <w:pStyle w:val="3"/>
              <w:keepNext w:val="0"/>
              <w:keepLines w:val="0"/>
              <w:widowControl/>
              <w:suppressLineNumbers w:val="0"/>
              <w:spacing w:line="24" w:lineRule="atLeast"/>
              <w:jc w:val="left"/>
            </w:pPr>
            <w:bookmarkStart w:id="39" w:name="_Toc398024666"/>
            <w:bookmarkEnd w:id="39"/>
            <w:bookmarkStart w:id="40" w:name="_Toc380050049"/>
            <w:bookmarkEnd w:id="40"/>
            <w:bookmarkStart w:id="41" w:name="_Toc353178143"/>
            <w:bookmarkEnd w:id="41"/>
            <w:bookmarkStart w:id="42" w:name="_Toc347757556"/>
            <w:bookmarkEnd w:id="42"/>
            <w:r>
              <w:rPr>
                <w:caps w:val="0"/>
                <w:spacing w:val="0"/>
              </w:rPr>
              <w:t>   </w:t>
            </w:r>
            <w:bookmarkStart w:id="43" w:name="_Toc345167240"/>
            <w:r>
              <w:rPr>
                <w:rFonts w:hint="eastAsia" w:ascii="宋体" w:hAnsi="宋体" w:eastAsia="宋体" w:cs="宋体"/>
                <w:caps w:val="0"/>
                <w:spacing w:val="0"/>
                <w:sz w:val="20"/>
                <w:szCs w:val="20"/>
              </w:rPr>
              <w:t>二、纸媒投放数据监测</w:t>
            </w:r>
            <w:bookmarkEnd w:id="43"/>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b/>
                <w:caps w:val="0"/>
                <w:spacing w:val="0"/>
                <w:kern w:val="0"/>
                <w:sz w:val="20"/>
                <w:szCs w:val="20"/>
                <w:lang w:val="en-US" w:eastAsia="zh-CN" w:bidi="ar"/>
              </w:rPr>
              <w:t>     1、报广投放时间段分析</w:t>
            </w:r>
          </w:p>
          <w:p>
            <w:pPr>
              <w:keepNext w:val="0"/>
              <w:keepLines w:val="0"/>
              <w:widowControl/>
              <w:suppressLineNumbers w:val="0"/>
              <w:spacing w:line="24" w:lineRule="atLeast"/>
              <w:ind w:left="0" w:firstLine="0"/>
              <w:jc w:val="center"/>
              <w:rPr>
                <w:rFonts w:hint="eastAsia" w:ascii="宋体" w:hAnsi="宋体" w:eastAsia="宋体" w:cs="宋体"/>
                <w:caps w:val="0"/>
                <w:spacing w:val="0"/>
                <w:sz w:val="24"/>
                <w:szCs w:val="24"/>
              </w:rPr>
            </w:pPr>
            <w:r>
              <w:rPr>
                <w:rFonts w:hint="eastAsia" w:ascii="宋体" w:hAnsi="宋体" w:eastAsia="宋体" w:cs="宋体"/>
                <w:b/>
                <w:caps w:val="0"/>
                <w:spacing w:val="0"/>
                <w:kern w:val="0"/>
                <w:sz w:val="20"/>
                <w:szCs w:val="20"/>
                <w:lang w:val="en-US" w:eastAsia="zh-CN" w:bidi="ar"/>
              </w:rPr>
              <w:t>本月投放量统计</w:t>
            </w:r>
          </w:p>
          <w:p>
            <w:pPr>
              <w:keepNext w:val="0"/>
              <w:keepLines w:val="0"/>
              <w:widowControl/>
              <w:suppressLineNumbers w:val="0"/>
              <w:spacing w:line="24" w:lineRule="atLeast"/>
              <w:ind w:left="0" w:firstLine="0"/>
              <w:jc w:val="center"/>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drawing>
                <wp:inline distT="0" distB="0" distL="114300" distR="114300">
                  <wp:extent cx="2667000" cy="1600200"/>
                  <wp:effectExtent l="0" t="0" r="0" b="0"/>
                  <wp:docPr id="27"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descr="IMG_283"/>
                          <pic:cNvPicPr>
                            <a:picLocks noChangeAspect="1"/>
                          </pic:cNvPicPr>
                        </pic:nvPicPr>
                        <pic:blipFill>
                          <a:blip r:embed="rId31"/>
                          <a:stretch>
                            <a:fillRect/>
                          </a:stretch>
                        </pic:blipFill>
                        <pic:spPr>
                          <a:xfrm>
                            <a:off x="0" y="0"/>
                            <a:ext cx="2667000" cy="1600200"/>
                          </a:xfrm>
                          <a:prstGeom prst="rect">
                            <a:avLst/>
                          </a:prstGeom>
                          <a:noFill/>
                          <a:ln w="9525">
                            <a:noFill/>
                          </a:ln>
                        </pic:spPr>
                      </pic:pic>
                    </a:graphicData>
                  </a:graphic>
                </wp:inline>
              </w:drawing>
            </w: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2343150" cy="1600200"/>
                  <wp:effectExtent l="0" t="0" r="3810" b="0"/>
                  <wp:docPr id="28"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9" descr="IMG_284"/>
                          <pic:cNvPicPr>
                            <a:picLocks noChangeAspect="1"/>
                          </pic:cNvPicPr>
                        </pic:nvPicPr>
                        <pic:blipFill>
                          <a:blip r:embed="rId32"/>
                          <a:stretch>
                            <a:fillRect/>
                          </a:stretch>
                        </pic:blipFill>
                        <pic:spPr>
                          <a:xfrm>
                            <a:off x="0" y="0"/>
                            <a:ext cx="2343150" cy="16002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0"/>
                <w:szCs w:val="20"/>
                <w:lang w:val="en-US" w:eastAsia="zh-CN" w:bidi="ar"/>
              </w:rPr>
              <w:t>     本月报广投放量从时间上来看，主要集中在3日、10日、16日、17日以及24日这5个时间点，其中16日投放量达到10篇；从每周时间来看，绝大多数集中在周五，占到了34%，其次是周四，占到了26%，而周末报广投放量仅为3%。</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b/>
                <w:caps w:val="0"/>
                <w:spacing w:val="0"/>
                <w:kern w:val="0"/>
                <w:sz w:val="20"/>
                <w:szCs w:val="20"/>
                <w:lang w:val="en-US" w:eastAsia="zh-CN" w:bidi="ar"/>
              </w:rPr>
              <w:t>    2、投放媒体及版面分析</w:t>
            </w:r>
          </w:p>
          <w:p>
            <w:pPr>
              <w:keepNext w:val="0"/>
              <w:keepLines w:val="0"/>
              <w:widowControl/>
              <w:suppressLineNumbers w:val="0"/>
              <w:spacing w:line="24" w:lineRule="atLeast"/>
              <w:ind w:left="0" w:firstLine="0"/>
              <w:jc w:val="center"/>
              <w:rPr>
                <w:rFonts w:hint="eastAsia" w:ascii="宋体" w:hAnsi="宋体" w:eastAsia="宋体" w:cs="宋体"/>
                <w:caps w:val="0"/>
                <w:spacing w:val="0"/>
                <w:sz w:val="24"/>
                <w:szCs w:val="24"/>
              </w:rPr>
            </w:pPr>
            <w:r>
              <w:rPr>
                <w:rFonts w:hint="eastAsia" w:ascii="宋体" w:hAnsi="宋体" w:eastAsia="宋体" w:cs="宋体"/>
                <w:b/>
                <w:caps w:val="0"/>
                <w:spacing w:val="0"/>
                <w:kern w:val="0"/>
                <w:sz w:val="20"/>
                <w:szCs w:val="20"/>
                <w:lang w:val="en-US" w:eastAsia="zh-CN" w:bidi="ar"/>
              </w:rPr>
              <w:t>投放媒体及版面统计</w:t>
            </w:r>
          </w:p>
          <w:p>
            <w:pPr>
              <w:keepNext w:val="0"/>
              <w:keepLines w:val="0"/>
              <w:widowControl/>
              <w:suppressLineNumbers w:val="0"/>
              <w:spacing w:line="24" w:lineRule="atLeast"/>
              <w:ind w:left="0" w:firstLine="0"/>
              <w:jc w:val="center"/>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drawing>
                <wp:inline distT="0" distB="0" distL="114300" distR="114300">
                  <wp:extent cx="2524125" cy="1733550"/>
                  <wp:effectExtent l="0" t="0" r="5715" b="3810"/>
                  <wp:docPr id="37"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descr="IMG_285"/>
                          <pic:cNvPicPr>
                            <a:picLocks noChangeAspect="1"/>
                          </pic:cNvPicPr>
                        </pic:nvPicPr>
                        <pic:blipFill>
                          <a:blip r:embed="rId33"/>
                          <a:stretch>
                            <a:fillRect/>
                          </a:stretch>
                        </pic:blipFill>
                        <pic:spPr>
                          <a:xfrm>
                            <a:off x="0" y="0"/>
                            <a:ext cx="2524125" cy="1733550"/>
                          </a:xfrm>
                          <a:prstGeom prst="rect">
                            <a:avLst/>
                          </a:prstGeom>
                          <a:noFill/>
                          <a:ln w="9525">
                            <a:noFill/>
                          </a:ln>
                        </pic:spPr>
                      </pic:pic>
                    </a:graphicData>
                  </a:graphic>
                </wp:inline>
              </w:drawing>
            </w: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2819400" cy="1733550"/>
                  <wp:effectExtent l="0" t="0" r="0" b="3810"/>
                  <wp:docPr id="29"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1" descr="IMG_286"/>
                          <pic:cNvPicPr>
                            <a:picLocks noChangeAspect="1"/>
                          </pic:cNvPicPr>
                        </pic:nvPicPr>
                        <pic:blipFill>
                          <a:blip r:embed="rId34"/>
                          <a:stretch>
                            <a:fillRect/>
                          </a:stretch>
                        </pic:blipFill>
                        <pic:spPr>
                          <a:xfrm>
                            <a:off x="0" y="0"/>
                            <a:ext cx="2819400" cy="17335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0"/>
                <w:szCs w:val="20"/>
                <w:lang w:val="en-US" w:eastAsia="zh-CN" w:bidi="ar"/>
              </w:rPr>
              <w:t> 本月三峡晚报投放量位居第一，共计43篇，占纸媒总投放量的42%，三峡商报次之，共计37篇，占纸媒总投放量的36%；投放版面主要集中在半版，共计87篇，占比84%，主要为中建·宜昌之星、弘洋·拉菲小镇、星钻等楼盘投放；其次是报眼及横幅，共计11篇，占比11%，主要为金鸾名苑、新外滩等楼盘投放；本月整版广告投放仅5篇，主要为半岛城邦投放。</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b/>
                <w:caps w:val="0"/>
                <w:spacing w:val="0"/>
                <w:kern w:val="0"/>
                <w:sz w:val="20"/>
                <w:szCs w:val="20"/>
                <w:lang w:val="en-US" w:eastAsia="zh-CN" w:bidi="ar"/>
              </w:rPr>
              <w:t>    3、项目投放量分析</w:t>
            </w:r>
          </w:p>
          <w:p>
            <w:pPr>
              <w:keepNext w:val="0"/>
              <w:keepLines w:val="0"/>
              <w:widowControl/>
              <w:suppressLineNumbers w:val="0"/>
              <w:spacing w:line="24" w:lineRule="atLeast"/>
              <w:ind w:left="0" w:firstLine="0"/>
              <w:jc w:val="center"/>
              <w:rPr>
                <w:rFonts w:hint="eastAsia" w:ascii="宋体" w:hAnsi="宋体" w:eastAsia="宋体" w:cs="宋体"/>
                <w:caps w:val="0"/>
                <w:spacing w:val="0"/>
                <w:sz w:val="24"/>
                <w:szCs w:val="24"/>
              </w:rPr>
            </w:pPr>
            <w:r>
              <w:rPr>
                <w:rFonts w:hint="eastAsia" w:ascii="宋体" w:hAnsi="宋体" w:eastAsia="宋体" w:cs="宋体"/>
                <w:b/>
                <w:caps w:val="0"/>
                <w:spacing w:val="0"/>
                <w:kern w:val="0"/>
                <w:sz w:val="20"/>
                <w:szCs w:val="20"/>
                <w:lang w:val="en-US" w:eastAsia="zh-CN" w:bidi="ar"/>
              </w:rPr>
              <w:t>各楼盘本月纸媒投放量对比</w:t>
            </w:r>
          </w:p>
          <w:p>
            <w:pPr>
              <w:keepNext w:val="0"/>
              <w:keepLines w:val="0"/>
              <w:widowControl/>
              <w:suppressLineNumbers w:val="0"/>
              <w:spacing w:line="24" w:lineRule="atLeast"/>
              <w:ind w:left="0" w:firstLine="0"/>
              <w:jc w:val="center"/>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drawing>
                <wp:inline distT="0" distB="0" distL="114300" distR="114300">
                  <wp:extent cx="4800600" cy="2867025"/>
                  <wp:effectExtent l="0" t="0" r="0" b="13335"/>
                  <wp:docPr id="30"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2" descr="IMG_287"/>
                          <pic:cNvPicPr>
                            <a:picLocks noChangeAspect="1"/>
                          </pic:cNvPicPr>
                        </pic:nvPicPr>
                        <pic:blipFill>
                          <a:blip r:embed="rId35"/>
                          <a:stretch>
                            <a:fillRect/>
                          </a:stretch>
                        </pic:blipFill>
                        <pic:spPr>
                          <a:xfrm>
                            <a:off x="0" y="0"/>
                            <a:ext cx="4800600" cy="28670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center"/>
              <w:rPr>
                <w:rFonts w:hint="eastAsia" w:ascii="宋体" w:hAnsi="宋体" w:eastAsia="宋体" w:cs="宋体"/>
                <w:caps w:val="0"/>
                <w:spacing w:val="0"/>
                <w:sz w:val="24"/>
                <w:szCs w:val="24"/>
              </w:rPr>
            </w:pPr>
            <w:r>
              <w:rPr>
                <w:rFonts w:hint="eastAsia" w:ascii="宋体" w:hAnsi="宋体" w:eastAsia="宋体" w:cs="宋体"/>
                <w:b/>
                <w:caps w:val="0"/>
                <w:spacing w:val="0"/>
                <w:kern w:val="0"/>
                <w:sz w:val="20"/>
                <w:szCs w:val="20"/>
                <w:lang w:val="en-US" w:eastAsia="zh-CN" w:bidi="ar"/>
              </w:rPr>
              <w:t>纸媒投放TOP 1、2、3：</w:t>
            </w:r>
            <w:r>
              <w:rPr>
                <w:rFonts w:hint="eastAsia" w:ascii="宋体" w:hAnsi="宋体" w:eastAsia="宋体" w:cs="宋体"/>
                <w:caps w:val="0"/>
                <w:spacing w:val="0"/>
                <w:kern w:val="0"/>
                <w:sz w:val="20"/>
                <w:szCs w:val="20"/>
                <w:lang w:val="en-US" w:eastAsia="zh-CN" w:bidi="ar"/>
              </w:rPr>
              <w:t>中建·宜昌之星、星钻、恒大绿洲</w:t>
            </w:r>
          </w:p>
          <w:p>
            <w:pPr>
              <w:keepNext w:val="0"/>
              <w:keepLines w:val="0"/>
              <w:widowControl/>
              <w:suppressLineNumbers w:val="0"/>
              <w:spacing w:line="24" w:lineRule="atLeast"/>
              <w:ind w:left="0" w:firstLine="0"/>
              <w:jc w:val="center"/>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drawing>
                <wp:inline distT="0" distB="0" distL="114300" distR="114300">
                  <wp:extent cx="2495550" cy="1600200"/>
                  <wp:effectExtent l="0" t="0" r="3810" b="0"/>
                  <wp:docPr id="32"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3" descr="IMG_288"/>
                          <pic:cNvPicPr>
                            <a:picLocks noChangeAspect="1"/>
                          </pic:cNvPicPr>
                        </pic:nvPicPr>
                        <pic:blipFill>
                          <a:blip r:embed="rId36"/>
                          <a:stretch>
                            <a:fillRect/>
                          </a:stretch>
                        </pic:blipFill>
                        <pic:spPr>
                          <a:xfrm>
                            <a:off x="0" y="0"/>
                            <a:ext cx="2495550" cy="1600200"/>
                          </a:xfrm>
                          <a:prstGeom prst="rect">
                            <a:avLst/>
                          </a:prstGeom>
                          <a:noFill/>
                          <a:ln w="9525">
                            <a:noFill/>
                          </a:ln>
                        </pic:spPr>
                      </pic:pic>
                    </a:graphicData>
                  </a:graphic>
                </wp:inline>
              </w:drawing>
            </w: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2133600" cy="1600200"/>
                  <wp:effectExtent l="0" t="0" r="0" b="0"/>
                  <wp:docPr id="34"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89"/>
                          <pic:cNvPicPr>
                            <a:picLocks noChangeAspect="1"/>
                          </pic:cNvPicPr>
                        </pic:nvPicPr>
                        <pic:blipFill>
                          <a:blip r:embed="rId37"/>
                          <a:stretch>
                            <a:fillRect/>
                          </a:stretch>
                        </pic:blipFill>
                        <pic:spPr>
                          <a:xfrm>
                            <a:off x="0" y="0"/>
                            <a:ext cx="2133600" cy="16002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0"/>
                <w:szCs w:val="20"/>
                <w:lang w:val="en-US" w:eastAsia="zh-CN" w:bidi="ar"/>
              </w:rPr>
              <w:t>本月中建·宜昌之星投放报广57篇，主要宣传7月18日认筹及8月8日音乐晚会的信息；星钻投放报广7篇，主要宣传7月26日开盘的信息；恒大绿洲投放报广6篇，主要宣传41号楼景观楼王的销售信息。</w:t>
            </w:r>
          </w:p>
          <w:p>
            <w:pPr>
              <w:keepNext w:val="0"/>
              <w:keepLines w:val="0"/>
              <w:widowControl/>
              <w:suppressLineNumbers w:val="0"/>
              <w:spacing w:line="24" w:lineRule="atLeast"/>
              <w:ind w:left="0" w:firstLine="0"/>
              <w:jc w:val="center"/>
              <w:rPr>
                <w:rFonts w:hint="eastAsia" w:ascii="宋体" w:hAnsi="宋体" w:eastAsia="宋体" w:cs="宋体"/>
                <w:caps w:val="0"/>
                <w:spacing w:val="0"/>
                <w:sz w:val="24"/>
                <w:szCs w:val="24"/>
              </w:rPr>
            </w:pPr>
            <w:r>
              <w:rPr>
                <w:rFonts w:hint="eastAsia" w:ascii="宋体" w:hAnsi="宋体" w:eastAsia="宋体" w:cs="宋体"/>
                <w:b/>
                <w:caps w:val="0"/>
                <w:spacing w:val="0"/>
                <w:kern w:val="0"/>
                <w:sz w:val="20"/>
                <w:szCs w:val="20"/>
                <w:lang w:val="en-US" w:eastAsia="zh-CN" w:bidi="ar"/>
              </w:rPr>
              <w:t>纸媒投放TOP 4、5、6：</w:t>
            </w:r>
            <w:r>
              <w:rPr>
                <w:rFonts w:hint="eastAsia" w:ascii="宋体" w:hAnsi="宋体" w:eastAsia="宋体" w:cs="宋体"/>
                <w:caps w:val="0"/>
                <w:spacing w:val="0"/>
                <w:kern w:val="0"/>
                <w:sz w:val="20"/>
                <w:szCs w:val="20"/>
                <w:lang w:val="en-US" w:eastAsia="zh-CN" w:bidi="ar"/>
              </w:rPr>
              <w:t>恒大帝景、江山多娇、弘洋·拉菲小镇</w:t>
            </w:r>
          </w:p>
          <w:p>
            <w:pPr>
              <w:keepNext w:val="0"/>
              <w:keepLines w:val="0"/>
              <w:widowControl/>
              <w:suppressLineNumbers w:val="0"/>
              <w:spacing w:line="24" w:lineRule="atLeast"/>
              <w:ind w:left="0" w:firstLine="0"/>
              <w:jc w:val="center"/>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drawing>
                <wp:inline distT="0" distB="0" distL="114300" distR="114300">
                  <wp:extent cx="2314575" cy="1733550"/>
                  <wp:effectExtent l="0" t="0" r="1905" b="3810"/>
                  <wp:docPr id="31"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5" descr="IMG_290"/>
                          <pic:cNvPicPr>
                            <a:picLocks noChangeAspect="1"/>
                          </pic:cNvPicPr>
                        </pic:nvPicPr>
                        <pic:blipFill>
                          <a:blip r:embed="rId38"/>
                          <a:stretch>
                            <a:fillRect/>
                          </a:stretch>
                        </pic:blipFill>
                        <pic:spPr>
                          <a:xfrm>
                            <a:off x="0" y="0"/>
                            <a:ext cx="2314575" cy="1733550"/>
                          </a:xfrm>
                          <a:prstGeom prst="rect">
                            <a:avLst/>
                          </a:prstGeom>
                          <a:noFill/>
                          <a:ln w="9525">
                            <a:noFill/>
                          </a:ln>
                        </pic:spPr>
                      </pic:pic>
                    </a:graphicData>
                  </a:graphic>
                </wp:inline>
              </w:drawing>
            </w: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2905125" cy="1733550"/>
                  <wp:effectExtent l="0" t="0" r="5715" b="3810"/>
                  <wp:docPr id="39"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descr="IMG_291"/>
                          <pic:cNvPicPr>
                            <a:picLocks noChangeAspect="1"/>
                          </pic:cNvPicPr>
                        </pic:nvPicPr>
                        <pic:blipFill>
                          <a:blip r:embed="rId39"/>
                          <a:stretch>
                            <a:fillRect/>
                          </a:stretch>
                        </pic:blipFill>
                        <pic:spPr>
                          <a:xfrm>
                            <a:off x="0" y="0"/>
                            <a:ext cx="2905125" cy="17335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0"/>
                <w:szCs w:val="20"/>
                <w:lang w:val="en-US" w:eastAsia="zh-CN" w:bidi="ar"/>
              </w:rPr>
              <w:t>    本月恒大帝景投放报广6篇，主要刊登销售信息及凡尔赛皇家会所7月开放的信息；江山多娇投放报广5篇，主要宣传5期即将入市的信息；弘洋·拉菲小镇投放报广5篇，</w:t>
            </w:r>
            <w:bookmarkStart w:id="44" w:name="_Toc380050050"/>
            <w:r>
              <w:rPr>
                <w:rFonts w:hint="eastAsia" w:ascii="宋体" w:hAnsi="宋体" w:eastAsia="宋体" w:cs="宋体"/>
                <w:caps w:val="0"/>
                <w:spacing w:val="0"/>
                <w:kern w:val="0"/>
                <w:sz w:val="20"/>
                <w:szCs w:val="20"/>
                <w:lang w:val="en-US" w:eastAsia="zh-CN" w:bidi="ar"/>
              </w:rPr>
              <w:t>主要宣传</w:t>
            </w:r>
            <w:bookmarkEnd w:id="44"/>
            <w:bookmarkStart w:id="45" w:name="_Toc398024667"/>
            <w:bookmarkEnd w:id="45"/>
            <w:bookmarkStart w:id="46" w:name="_Toc384796975"/>
            <w:r>
              <w:rPr>
                <w:rFonts w:hint="eastAsia" w:ascii="宋体" w:hAnsi="宋体" w:eastAsia="宋体" w:cs="宋体"/>
                <w:caps w:val="0"/>
                <w:spacing w:val="0"/>
                <w:kern w:val="0"/>
                <w:sz w:val="20"/>
                <w:szCs w:val="20"/>
                <w:lang w:val="en-US" w:eastAsia="zh-CN" w:bidi="ar"/>
              </w:rPr>
              <w:t>7月5日开盘的信息。</w:t>
            </w:r>
            <w:bookmarkEnd w:id="46"/>
          </w:p>
          <w:p>
            <w:pPr>
              <w:pStyle w:val="3"/>
              <w:keepNext w:val="0"/>
              <w:keepLines w:val="0"/>
              <w:widowControl/>
              <w:suppressLineNumbers w:val="0"/>
              <w:spacing w:line="24" w:lineRule="atLeast"/>
              <w:jc w:val="left"/>
            </w:pPr>
            <w:r>
              <w:rPr>
                <w:rFonts w:hint="eastAsia" w:ascii="宋体" w:hAnsi="宋体" w:eastAsia="宋体" w:cs="宋体"/>
                <w:caps w:val="0"/>
                <w:spacing w:val="0"/>
                <w:sz w:val="20"/>
                <w:szCs w:val="20"/>
              </w:rPr>
              <w:t>   三、网络媒体监测</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t>      </w:t>
            </w:r>
            <w:bookmarkStart w:id="47" w:name="_Toc380050051"/>
            <w:r>
              <w:rPr>
                <w:rFonts w:hint="eastAsia" w:ascii="宋体" w:hAnsi="宋体" w:eastAsia="宋体" w:cs="宋体"/>
                <w:b/>
                <w:caps w:val="0"/>
                <w:spacing w:val="0"/>
                <w:kern w:val="0"/>
                <w:sz w:val="20"/>
                <w:szCs w:val="20"/>
                <w:lang w:val="en-US" w:eastAsia="zh-CN" w:bidi="ar"/>
              </w:rPr>
              <w:t>1</w:t>
            </w:r>
            <w:bookmarkEnd w:id="47"/>
            <w:r>
              <w:rPr>
                <w:rFonts w:hint="eastAsia" w:ascii="宋体" w:hAnsi="宋体" w:eastAsia="宋体" w:cs="宋体"/>
                <w:b/>
                <w:caps w:val="0"/>
                <w:spacing w:val="0"/>
                <w:kern w:val="0"/>
                <w:sz w:val="20"/>
                <w:szCs w:val="20"/>
                <w:lang w:val="en-US" w:eastAsia="zh-CN" w:bidi="ar"/>
              </w:rPr>
              <w:t>、亿房网</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t>     </w:t>
            </w:r>
            <w:bookmarkStart w:id="48" w:name="_Toc380050052"/>
            <w:r>
              <w:rPr>
                <w:rFonts w:hint="eastAsia" w:ascii="宋体" w:hAnsi="宋体" w:eastAsia="宋体" w:cs="宋体"/>
                <w:caps w:val="0"/>
                <w:spacing w:val="0"/>
                <w:kern w:val="0"/>
                <w:sz w:val="20"/>
                <w:szCs w:val="20"/>
                <w:lang w:val="en-US" w:eastAsia="zh-CN" w:bidi="ar"/>
              </w:rPr>
              <w:t>本月在亿房网投放广告的主要有山水华庭、中建·宜昌之星等楼盘。</w:t>
            </w:r>
            <w:bookmarkEnd w:id="48"/>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5334000" cy="371475"/>
                  <wp:effectExtent l="0" t="0" r="0" b="9525"/>
                  <wp:docPr id="42"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descr="IMG_292"/>
                          <pic:cNvPicPr>
                            <a:picLocks noChangeAspect="1"/>
                          </pic:cNvPicPr>
                        </pic:nvPicPr>
                        <pic:blipFill>
                          <a:blip r:embed="rId40"/>
                          <a:stretch>
                            <a:fillRect/>
                          </a:stretch>
                        </pic:blipFill>
                        <pic:spPr>
                          <a:xfrm>
                            <a:off x="0" y="0"/>
                            <a:ext cx="5334000" cy="3714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5334000" cy="771525"/>
                  <wp:effectExtent l="0" t="0" r="0" b="5715"/>
                  <wp:docPr id="36"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8" descr="IMG_293"/>
                          <pic:cNvPicPr>
                            <a:picLocks noChangeAspect="1"/>
                          </pic:cNvPicPr>
                        </pic:nvPicPr>
                        <pic:blipFill>
                          <a:blip r:embed="rId41"/>
                          <a:stretch>
                            <a:fillRect/>
                          </a:stretch>
                        </pic:blipFill>
                        <pic:spPr>
                          <a:xfrm>
                            <a:off x="0" y="0"/>
                            <a:ext cx="5334000" cy="7715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b/>
                <w:caps w:val="0"/>
                <w:spacing w:val="0"/>
                <w:kern w:val="0"/>
                <w:sz w:val="20"/>
                <w:szCs w:val="20"/>
                <w:lang w:val="en-US" w:eastAsia="zh-CN" w:bidi="ar"/>
              </w:rPr>
              <w:t>   2、搜狐焦点</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t>     </w:t>
            </w:r>
            <w:bookmarkStart w:id="49" w:name="_Toc380050054"/>
            <w:r>
              <w:rPr>
                <w:rFonts w:hint="eastAsia" w:ascii="宋体" w:hAnsi="宋体" w:eastAsia="宋体" w:cs="宋体"/>
                <w:caps w:val="0"/>
                <w:spacing w:val="0"/>
                <w:kern w:val="0"/>
                <w:sz w:val="20"/>
                <w:szCs w:val="20"/>
                <w:lang w:val="en-US" w:eastAsia="zh-CN" w:bidi="ar"/>
              </w:rPr>
              <w:t>本月在搜狐焦点投放广告的主要有宜化巴黎香颂、宜化新天地以及中兴国际花园等</w:t>
            </w:r>
            <w:bookmarkEnd w:id="49"/>
            <w:r>
              <w:rPr>
                <w:rFonts w:hint="eastAsia" w:ascii="宋体" w:hAnsi="宋体" w:eastAsia="宋体" w:cs="宋体"/>
                <w:caps w:val="0"/>
                <w:spacing w:val="0"/>
                <w:kern w:val="0"/>
                <w:sz w:val="20"/>
                <w:szCs w:val="20"/>
                <w:lang w:val="en-US" w:eastAsia="zh-CN" w:bidi="ar"/>
              </w:rPr>
              <w:t>楼盘。</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5334000" cy="266700"/>
                  <wp:effectExtent l="0" t="0" r="0" b="7620"/>
                  <wp:docPr id="25"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9" descr="IMG_294"/>
                          <pic:cNvPicPr>
                            <a:picLocks noChangeAspect="1"/>
                          </pic:cNvPicPr>
                        </pic:nvPicPr>
                        <pic:blipFill>
                          <a:blip r:embed="rId42"/>
                          <a:stretch>
                            <a:fillRect/>
                          </a:stretch>
                        </pic:blipFill>
                        <pic:spPr>
                          <a:xfrm>
                            <a:off x="0" y="0"/>
                            <a:ext cx="5334000" cy="2667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5334000" cy="266700"/>
                  <wp:effectExtent l="0" t="0" r="0" b="7620"/>
                  <wp:docPr id="23"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0" descr="IMG_295"/>
                          <pic:cNvPicPr>
                            <a:picLocks noChangeAspect="1"/>
                          </pic:cNvPicPr>
                        </pic:nvPicPr>
                        <pic:blipFill>
                          <a:blip r:embed="rId43"/>
                          <a:stretch>
                            <a:fillRect/>
                          </a:stretch>
                        </pic:blipFill>
                        <pic:spPr>
                          <a:xfrm>
                            <a:off x="0" y="0"/>
                            <a:ext cx="5334000" cy="26670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5334000" cy="514350"/>
                  <wp:effectExtent l="0" t="0" r="0" b="3810"/>
                  <wp:docPr id="35"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1" descr="IMG_296"/>
                          <pic:cNvPicPr>
                            <a:picLocks noChangeAspect="1"/>
                          </pic:cNvPicPr>
                        </pic:nvPicPr>
                        <pic:blipFill>
                          <a:blip r:embed="rId44"/>
                          <a:stretch>
                            <a:fillRect/>
                          </a:stretch>
                        </pic:blipFill>
                        <pic:spPr>
                          <a:xfrm>
                            <a:off x="0" y="0"/>
                            <a:ext cx="5334000" cy="5143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t>    </w:t>
            </w:r>
            <w:bookmarkStart w:id="50" w:name="_Toc380050055"/>
            <w:r>
              <w:rPr>
                <w:rFonts w:hint="eastAsia" w:ascii="宋体" w:hAnsi="宋体" w:eastAsia="宋体" w:cs="宋体"/>
                <w:b/>
                <w:caps w:val="0"/>
                <w:spacing w:val="0"/>
                <w:kern w:val="0"/>
                <w:sz w:val="24"/>
                <w:szCs w:val="24"/>
                <w:lang w:val="en-US" w:eastAsia="zh-CN" w:bidi="ar"/>
              </w:rPr>
              <w:t>3</w:t>
            </w:r>
            <w:bookmarkEnd w:id="50"/>
            <w:r>
              <w:rPr>
                <w:rFonts w:hint="eastAsia" w:ascii="宋体" w:hAnsi="宋体" w:eastAsia="宋体" w:cs="宋体"/>
                <w:b/>
                <w:caps w:val="0"/>
                <w:spacing w:val="0"/>
                <w:kern w:val="0"/>
                <w:sz w:val="24"/>
                <w:szCs w:val="24"/>
                <w:lang w:val="en-US" w:eastAsia="zh-CN" w:bidi="ar"/>
              </w:rPr>
              <w:t>、大楚网</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t>     </w:t>
            </w:r>
            <w:bookmarkStart w:id="51" w:name="_Toc380050056"/>
            <w:r>
              <w:rPr>
                <w:rFonts w:hint="eastAsia" w:ascii="宋体" w:hAnsi="宋体" w:eastAsia="宋体" w:cs="宋体"/>
                <w:caps w:val="0"/>
                <w:spacing w:val="0"/>
                <w:kern w:val="0"/>
                <w:sz w:val="24"/>
                <w:szCs w:val="24"/>
                <w:lang w:val="en-US" w:eastAsia="zh-CN" w:bidi="ar"/>
              </w:rPr>
              <w:t>本月在大楚网投放广告的主要有</w:t>
            </w:r>
            <w:bookmarkEnd w:id="51"/>
            <w:r>
              <w:rPr>
                <w:rFonts w:hint="eastAsia" w:ascii="宋体" w:hAnsi="宋体" w:eastAsia="宋体" w:cs="宋体"/>
                <w:caps w:val="0"/>
                <w:spacing w:val="0"/>
                <w:kern w:val="0"/>
                <w:sz w:val="24"/>
                <w:szCs w:val="24"/>
                <w:lang w:val="en-US" w:eastAsia="zh-CN" w:bidi="ar"/>
              </w:rPr>
              <w:t>城中半岛、城中金谷、恒大帝景以及宜化巴黎香颂等楼盘。</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5334000" cy="1724025"/>
                  <wp:effectExtent l="0" t="0" r="0" b="13335"/>
                  <wp:docPr id="38"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2" descr="IMG_297"/>
                          <pic:cNvPicPr>
                            <a:picLocks noChangeAspect="1"/>
                          </pic:cNvPicPr>
                        </pic:nvPicPr>
                        <pic:blipFill>
                          <a:blip r:embed="rId45"/>
                          <a:stretch>
                            <a:fillRect/>
                          </a:stretch>
                        </pic:blipFill>
                        <pic:spPr>
                          <a:xfrm>
                            <a:off x="0" y="0"/>
                            <a:ext cx="5334000" cy="172402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t> </w:t>
            </w:r>
          </w:p>
          <w:p>
            <w:pPr>
              <w:keepNext w:val="0"/>
              <w:keepLines w:val="0"/>
              <w:widowControl/>
              <w:suppressLineNumbers w:val="0"/>
              <w:spacing w:line="24" w:lineRule="atLeast"/>
              <w:ind w:left="0" w:firstLine="0"/>
              <w:jc w:val="left"/>
              <w:rPr>
                <w:rFonts w:hint="eastAsia" w:ascii="宋体" w:hAnsi="宋体" w:eastAsia="宋体" w:cs="宋体"/>
                <w:caps w:val="0"/>
                <w:spacing w:val="0"/>
                <w:sz w:val="24"/>
                <w:szCs w:val="24"/>
              </w:rPr>
            </w:pPr>
            <w:r>
              <w:rPr>
                <w:rFonts w:hint="eastAsia" w:ascii="宋体" w:hAnsi="宋体" w:eastAsia="宋体" w:cs="宋体"/>
                <w:caps w:val="0"/>
                <w:spacing w:val="0"/>
                <w:kern w:val="0"/>
                <w:sz w:val="24"/>
                <w:szCs w:val="24"/>
                <w:lang w:val="en-US" w:eastAsia="zh-CN" w:bidi="ar"/>
              </w:rPr>
              <w:t> </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64B43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semiHidden/>
    <w:qFormat/>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7" Type="http://schemas.openxmlformats.org/officeDocument/2006/relationships/fontTable" Target="fontTable.xml"/><Relationship Id="rId46" Type="http://schemas.openxmlformats.org/officeDocument/2006/relationships/customXml" Target="../customXml/item1.xml"/><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2019-09-30T03:25:43Z</dcterms:created>
  <dc:creator>HP</dc:creator>
  <cp:lastModifiedBy>joke</cp:lastModifiedBy>
  <dcterms:modified xsi:type="dcterms:W3CDTF">2019-09-30T03:39:58Z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