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W w:w="8208" w:type="dxa"/>
        <w:jc w:val="center"/>
        <w:tblCellSpacing w:w="0" w:type="dxa"/>
        <w:tblInd w:w="49" w:type="dxa"/>
        <w:shd w:val="clear" w:color="auto" w:fill="FFFFFF"/>
        <w:tblLayout w:type="fixed"/>
        <w:tblCellMar>
          <w:top w:w="132" w:type="dxa"/>
          <w:left w:w="0" w:type="dxa"/>
          <w:bottom w:w="0" w:type="dxa"/>
          <w:right w:w="0" w:type="dxa"/>
        </w:tblCellMar>
      </w:tblPr>
      <w:tblGrid>
        <w:gridCol w:w="8208"/>
      </w:tblGrid>
      <w:tr>
        <w:tblPrEx>
          <w:tblLayout w:type="fixed"/>
          <w:tblCellMar>
            <w:top w:w="132" w:type="dxa"/>
            <w:left w:w="0" w:type="dxa"/>
            <w:bottom w:w="0" w:type="dxa"/>
            <w:right w:w="0" w:type="dxa"/>
          </w:tblCellMar>
        </w:tblPrEx>
        <w:trPr>
          <w:trHeight w:val="420" w:hRule="atLeast"/>
          <w:tblCellSpacing w:w="0" w:type="dxa"/>
          <w:jc w:val="center"/>
        </w:trPr>
        <w:tc>
          <w:tcPr>
            <w:tcW w:w="8208" w:type="dxa"/>
            <w:shd w:val="clear" w:color="auto" w:fill="FFFFFF"/>
            <w:vAlign w:val="center"/>
          </w:tcPr>
          <w:p>
            <w:pPr>
              <w:keepNext w:val="0"/>
              <w:keepLines w:val="0"/>
              <w:widowControl/>
              <w:suppressLineNumbers w:val="0"/>
              <w:ind w:left="0" w:firstLine="0"/>
              <w:jc w:val="center"/>
              <w:rPr>
                <w:rFonts w:hint="eastAsia" w:ascii="宋体" w:hAnsi="宋体" w:eastAsia="宋体" w:cs="宋体"/>
                <w:b/>
                <w:caps w:val="0"/>
                <w:color w:val="D00000"/>
                <w:spacing w:val="0"/>
                <w:sz w:val="16"/>
                <w:szCs w:val="16"/>
              </w:rPr>
            </w:pPr>
            <w:r>
              <w:rPr>
                <w:rFonts w:hint="eastAsia" w:ascii="宋体" w:hAnsi="宋体" w:eastAsia="宋体" w:cs="宋体"/>
                <w:b/>
                <w:caps w:val="0"/>
                <w:color w:val="D00000"/>
                <w:spacing w:val="0"/>
                <w:kern w:val="0"/>
                <w:sz w:val="16"/>
                <w:szCs w:val="16"/>
                <w:lang w:val="en-US" w:eastAsia="zh-CN" w:bidi="ar"/>
              </w:rPr>
              <w:t>2015年3月宜昌市城区房地产市场分析报告</w:t>
            </w:r>
          </w:p>
        </w:tc>
      </w:tr>
      <w:tr>
        <w:tblPrEx>
          <w:tblLayout w:type="fixed"/>
          <w:tblCellMar>
            <w:top w:w="132" w:type="dxa"/>
            <w:left w:w="0" w:type="dxa"/>
            <w:bottom w:w="0" w:type="dxa"/>
            <w:right w:w="0" w:type="dxa"/>
          </w:tblCellMar>
        </w:tblPrEx>
        <w:trPr>
          <w:trHeight w:val="301" w:hRule="atLeast"/>
          <w:tblCellSpacing w:w="0" w:type="dxa"/>
          <w:jc w:val="center"/>
        </w:trPr>
        <w:tc>
          <w:tcPr>
            <w:tcW w:w="8208" w:type="dxa"/>
            <w:shd w:val="clear" w:color="auto" w:fill="FFFFFF"/>
            <w:vAlign w:val="center"/>
          </w:tcPr>
          <w:p>
            <w:pPr>
              <w:keepNext w:val="0"/>
              <w:keepLines w:val="0"/>
              <w:widowControl/>
              <w:suppressLineNumbers w:val="0"/>
              <w:ind w:left="0" w:firstLine="0"/>
              <w:jc w:val="center"/>
              <w:rPr>
                <w:rFonts w:hint="eastAsia" w:ascii="宋体" w:hAnsi="宋体" w:eastAsia="宋体" w:cs="宋体"/>
                <w:caps w:val="0"/>
                <w:color w:val="6C5239"/>
                <w:spacing w:val="0"/>
                <w:sz w:val="14"/>
                <w:szCs w:val="14"/>
              </w:rPr>
            </w:pPr>
            <w:r>
              <w:rPr>
                <w:rFonts w:hint="eastAsia" w:ascii="宋体" w:hAnsi="宋体" w:eastAsia="宋体" w:cs="宋体"/>
                <w:caps w:val="0"/>
                <w:color w:val="6C5239"/>
                <w:spacing w:val="0"/>
                <w:kern w:val="0"/>
                <w:sz w:val="14"/>
                <w:szCs w:val="14"/>
                <w:lang w:val="en-US" w:eastAsia="zh-CN" w:bidi="ar"/>
              </w:rPr>
              <w:t>发布时间：4/27/2015 3:43:56 PM 浏览：2554</w:t>
            </w:r>
          </w:p>
        </w:tc>
      </w:tr>
    </w:tbl>
    <w:p>
      <w:pPr>
        <w:rPr>
          <w:vanish/>
          <w:sz w:val="24"/>
          <w:szCs w:val="24"/>
        </w:rPr>
      </w:pPr>
    </w:p>
    <w:tbl>
      <w:tblPr>
        <w:tblW w:w="8306" w:type="dxa"/>
        <w:tblCellSpacing w:w="0" w:type="dxa"/>
        <w:tblInd w:w="0" w:type="dxa"/>
        <w:shd w:val="clear" w:color="auto" w:fill="FFFFFF"/>
        <w:tblLayout w:type="fixed"/>
        <w:tblCellMar>
          <w:top w:w="0" w:type="dxa"/>
          <w:left w:w="0" w:type="dxa"/>
          <w:bottom w:w="0" w:type="dxa"/>
          <w:right w:w="0" w:type="dxa"/>
        </w:tblCellMar>
      </w:tblPr>
      <w:tblGrid>
        <w:gridCol w:w="4153"/>
        <w:gridCol w:w="4153"/>
      </w:tblGrid>
      <w:tr>
        <w:tblPrEx>
          <w:tblLayout w:type="fixed"/>
          <w:tblCellMar>
            <w:top w:w="0" w:type="dxa"/>
            <w:left w:w="0" w:type="dxa"/>
            <w:bottom w:w="0" w:type="dxa"/>
            <w:right w:w="0" w:type="dxa"/>
          </w:tblCellMar>
        </w:tblPrEx>
        <w:trPr>
          <w:tblCellSpacing w:w="0" w:type="dxa"/>
        </w:trPr>
        <w:tc>
          <w:tcPr>
            <w:tcW w:w="4153" w:type="dxa"/>
            <w:shd w:val="clear" w:color="auto" w:fill="FFFFFF"/>
            <w:vAlign w:val="center"/>
          </w:tcPr>
          <w:p>
            <w:pPr>
              <w:keepNext w:val="0"/>
              <w:keepLines w:val="0"/>
              <w:widowControl/>
              <w:suppressLineNumbers w:val="0"/>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tc>
        <w:tc>
          <w:tcPr>
            <w:tcW w:w="4153" w:type="dxa"/>
            <w:shd w:val="clear" w:color="auto" w:fill="FFFFFF"/>
            <w:vAlign w:val="center"/>
          </w:tcPr>
          <w:p>
            <w:pPr>
              <w:keepNext w:val="0"/>
              <w:keepLines w:val="0"/>
              <w:widowControl/>
              <w:suppressLineNumbers w:val="0"/>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tc>
      </w:tr>
    </w:tbl>
    <w:p>
      <w:pPr>
        <w:rPr>
          <w:vanish/>
          <w:sz w:val="24"/>
          <w:szCs w:val="24"/>
        </w:rPr>
      </w:pPr>
    </w:p>
    <w:tbl>
      <w:tblPr>
        <w:tblW w:w="8306" w:type="dxa"/>
        <w:jc w:val="center"/>
        <w:tblCellSpacing w:w="0" w:type="dxa"/>
        <w:tblInd w:w="0" w:type="dxa"/>
        <w:shd w:val="clear" w:color="auto" w:fill="FFFFFF"/>
        <w:tblLayout w:type="fixed"/>
        <w:tblCellMar>
          <w:top w:w="0" w:type="dxa"/>
          <w:left w:w="0" w:type="dxa"/>
          <w:bottom w:w="0" w:type="dxa"/>
          <w:right w:w="0" w:type="dxa"/>
        </w:tblCellMar>
      </w:tblPr>
      <w:tblGrid>
        <w:gridCol w:w="8306"/>
      </w:tblGrid>
      <w:tr>
        <w:tblPrEx>
          <w:tblLayout w:type="fixed"/>
          <w:tblCellMar>
            <w:top w:w="0" w:type="dxa"/>
            <w:left w:w="0" w:type="dxa"/>
            <w:bottom w:w="0" w:type="dxa"/>
            <w:right w:w="0" w:type="dxa"/>
          </w:tblCellMar>
        </w:tblPrEx>
        <w:trPr>
          <w:trHeight w:val="301" w:hRule="atLeast"/>
          <w:tblCellSpacing w:w="0" w:type="dxa"/>
          <w:jc w:val="center"/>
        </w:trPr>
        <w:tc>
          <w:tcPr>
            <w:tcW w:w="8306" w:type="dxa"/>
            <w:shd w:val="clear" w:color="auto" w:fill="FFFFFF"/>
            <w:vAlign w:val="center"/>
          </w:tcPr>
          <w:p>
            <w:pPr>
              <w:pStyle w:val="2"/>
              <w:keepNext w:val="0"/>
              <w:keepLines w:val="0"/>
              <w:widowControl/>
              <w:suppressLineNumbers w:val="0"/>
              <w:spacing w:line="24" w:lineRule="atLeast"/>
              <w:jc w:val="center"/>
            </w:pPr>
            <w:r>
              <w:rPr>
                <w:rFonts w:hint="eastAsia" w:ascii="宋体" w:hAnsi="宋体" w:eastAsia="宋体" w:cs="宋体"/>
                <w:caps w:val="0"/>
                <w:spacing w:val="0"/>
                <w:sz w:val="27"/>
                <w:szCs w:val="27"/>
              </w:rPr>
              <w:t>第一部分   楼市政策分析</w:t>
            </w:r>
          </w:p>
          <w:p>
            <w:pPr>
              <w:pStyle w:val="3"/>
              <w:keepNext w:val="0"/>
              <w:keepLines w:val="0"/>
              <w:widowControl/>
              <w:suppressLineNumbers w:val="0"/>
              <w:spacing w:line="24" w:lineRule="atLeast"/>
            </w:pPr>
            <w:bookmarkStart w:id="0" w:name="_Toc398024652"/>
            <w:bookmarkEnd w:id="0"/>
            <w:bookmarkStart w:id="1" w:name="_Toc384797619"/>
            <w:bookmarkEnd w:id="1"/>
            <w:bookmarkStart w:id="2" w:name="_Toc384797303"/>
            <w:bookmarkEnd w:id="2"/>
            <w:bookmarkStart w:id="3" w:name="_Toc384797221"/>
            <w:bookmarkEnd w:id="3"/>
            <w:bookmarkStart w:id="4" w:name="_Toc384796962"/>
            <w:bookmarkEnd w:id="4"/>
            <w:bookmarkStart w:id="5" w:name="_Toc380050033"/>
            <w:bookmarkEnd w:id="5"/>
            <w:bookmarkStart w:id="6" w:name="_Toc347757543"/>
            <w:bookmarkEnd w:id="6"/>
            <w:r>
              <w:rPr>
                <w:caps w:val="0"/>
                <w:spacing w:val="0"/>
              </w:rPr>
              <w:t>    </w:t>
            </w:r>
            <w:bookmarkStart w:id="7" w:name="_Toc345167227"/>
            <w:r>
              <w:rPr>
                <w:rFonts w:hint="eastAsia" w:ascii="宋体" w:hAnsi="宋体" w:eastAsia="宋体" w:cs="宋体"/>
                <w:caps w:val="0"/>
                <w:spacing w:val="0"/>
                <w:sz w:val="20"/>
                <w:szCs w:val="20"/>
              </w:rPr>
              <w:t>一、本月楼市政策一览</w:t>
            </w:r>
            <w:bookmarkEnd w:id="7"/>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t> 3月5日，国务院：支持居民自住和改善型住房需求</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t>内容简介：3月5日，</w:t>
            </w:r>
            <w:r>
              <w:rPr>
                <w:rFonts w:hint="eastAsia" w:ascii="宋体" w:hAnsi="宋体" w:eastAsia="宋体" w:cs="宋体"/>
                <w:caps w:val="0"/>
                <w:spacing w:val="0"/>
                <w:kern w:val="0"/>
                <w:sz w:val="20"/>
                <w:szCs w:val="20"/>
                <w:lang w:val="en-US" w:eastAsia="zh-CN" w:bidi="ar"/>
              </w:rPr>
              <w:t>国务院总理李克强政府工作报告中指出针对房地产市场，要坚持分类指导，因地施政，落实地方政府主体责任，支持居民自住或改善型住房需求，促进房地产市场平稳健康发展。</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t>政策解读：</w:t>
            </w:r>
            <w:r>
              <w:rPr>
                <w:rFonts w:hint="eastAsia" w:ascii="宋体" w:hAnsi="宋体" w:eastAsia="宋体" w:cs="宋体"/>
                <w:caps w:val="0"/>
                <w:spacing w:val="0"/>
                <w:kern w:val="0"/>
                <w:sz w:val="20"/>
                <w:szCs w:val="20"/>
                <w:lang w:val="en-US" w:eastAsia="zh-CN" w:bidi="ar"/>
              </w:rPr>
              <w:t>政策出台旨在培育健康的房地产市场，让居民住房消费成为拉动经济增长的强劲动力。同时表明政府将扩大低收入人群的住房保障范围，加强对刚需及二次改善型购房需求的政策支持。</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t> 3月27日，国土部、 住建部：适当控制2015年住房开发规模、进度</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t> 内容简介：</w:t>
            </w:r>
            <w:r>
              <w:rPr>
                <w:rFonts w:hint="eastAsia" w:ascii="宋体" w:hAnsi="宋体" w:eastAsia="宋体" w:cs="宋体"/>
                <w:caps w:val="0"/>
                <w:spacing w:val="0"/>
                <w:kern w:val="0"/>
                <w:sz w:val="20"/>
                <w:szCs w:val="20"/>
                <w:lang w:val="en-US" w:eastAsia="zh-CN" w:bidi="ar"/>
              </w:rPr>
              <w:t>3月27日，国土资源部、住建部联合下发《关于优化2015年住房及用地供应结构促进房地产市场平稳健康发展的通知》，要求：一：有供、有限合理安排住房和其用地供应规模；二、优化住房供应套型，促进用地结构调整；三、多措并举，统筹保障性安居工程建设；四、对在房地产开发和交易环节中有严重违法违规行为的房地产开发企业，限制或禁止参与新出让房地产用地的竞买。</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t> 政策解读：</w:t>
            </w:r>
            <w:r>
              <w:rPr>
                <w:rFonts w:hint="eastAsia" w:ascii="宋体" w:hAnsi="宋体" w:eastAsia="宋体" w:cs="宋体"/>
                <w:caps w:val="0"/>
                <w:spacing w:val="0"/>
                <w:kern w:val="0"/>
                <w:sz w:val="20"/>
                <w:szCs w:val="20"/>
                <w:lang w:val="en-US" w:eastAsia="zh-CN" w:bidi="ar"/>
              </w:rPr>
              <w:t>控制2015年住房开发规模、进度旨在（1）对住房供应明显偏多或在建住宅用地规模过大的城市要减少供地或暂停供应计划，对住房供地少的城市增加住宅用地供地规模。（2）引导未开发房地产用地转型利用，用于国家支持的新兴产业、养老产业、文化产业、体育产业等项目用途的开发建设。（3）商品住房可作为棚户改造安置房，实现库存过剩的商品房多元化消化。</w:t>
            </w:r>
            <w:r>
              <w:rPr>
                <w:rFonts w:hint="eastAsia" w:ascii="宋体" w:hAnsi="宋体" w:eastAsia="宋体" w:cs="宋体"/>
                <w:b/>
                <w:caps w:val="0"/>
                <w:spacing w:val="0"/>
                <w:kern w:val="0"/>
                <w:sz w:val="20"/>
                <w:szCs w:val="20"/>
                <w:lang w:val="en-US" w:eastAsia="zh-CN" w:bidi="ar"/>
              </w:rPr>
              <w:t>两部门联合出台的政策从影响上来说，代表了未来的政策方向，未来将有更多的政策出台</w:t>
            </w:r>
            <w:r>
              <w:rPr>
                <w:rFonts w:hint="eastAsia" w:ascii="宋体" w:hAnsi="宋体" w:eastAsia="宋体" w:cs="宋体"/>
                <w:caps w:val="0"/>
                <w:spacing w:val="0"/>
                <w:kern w:val="0"/>
                <w:sz w:val="20"/>
                <w:szCs w:val="20"/>
                <w:lang w:val="en-US" w:eastAsia="zh-CN" w:bidi="ar"/>
              </w:rPr>
              <w:t>。</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t>3月30日，央行、住建部、银监会、财政部：二套房贷款首付最低降至4成，二手房满2年免征营业税</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t>内容简介：</w:t>
            </w:r>
            <w:r>
              <w:rPr>
                <w:rFonts w:hint="eastAsia" w:ascii="宋体" w:hAnsi="宋体" w:eastAsia="宋体" w:cs="宋体"/>
                <w:caps w:val="0"/>
                <w:spacing w:val="0"/>
                <w:kern w:val="0"/>
                <w:sz w:val="20"/>
                <w:szCs w:val="20"/>
                <w:lang w:val="en-US" w:eastAsia="zh-CN" w:bidi="ar"/>
              </w:rPr>
              <w:t>央行、住建部、银监会30日联合发布的《关于个人住房贷款政策有关问题的通知》，拥有1套住房且相应房贷未结清的居民家庭，为改善居住条件再次申请商业性个人住房贷款购买普通自住房，首付款比例调整为不低于4成。（此前为最低不得低于6成），此外，新政规定住房公积金贷款购买首套房首付比例最低2成，二套房首付比例最低3成。随即，财政部也发文对买卖房屋时所产生的营业税年限进行了调整。3月31日起，个人将购买不足2年的普通住房转卖，全额征收营业税；2年以上免征营业税。此前，个人普通住房销售免税的年限被设定为5年以上。</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t> 政策解读：</w:t>
            </w:r>
            <w:r>
              <w:rPr>
                <w:rFonts w:hint="eastAsia" w:ascii="宋体" w:hAnsi="宋体" w:eastAsia="宋体" w:cs="宋体"/>
                <w:caps w:val="0"/>
                <w:spacing w:val="0"/>
                <w:kern w:val="0"/>
                <w:sz w:val="20"/>
                <w:szCs w:val="20"/>
                <w:lang w:val="en-US" w:eastAsia="zh-CN" w:bidi="ar"/>
              </w:rPr>
              <w:t>此次“组合拳”新政出台，更多的是对于房地产行业的重视，给予市场信心，这也反映出房地产市场形式的严峻性。市场保有量趋于饱和，刚需消费遭遇瓶颈，政府的刺激以改善型需求为主。楼市行政短期内将对楼市带来利好，但长期作用有限。</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t> 政策归纳：</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bookmarkStart w:id="8" w:name="_Toc384797620"/>
            <w:bookmarkEnd w:id="8"/>
            <w:bookmarkStart w:id="9" w:name="_Toc384797304"/>
            <w:bookmarkEnd w:id="9"/>
            <w:bookmarkStart w:id="10" w:name="_Toc384797222"/>
            <w:bookmarkEnd w:id="10"/>
            <w:bookmarkStart w:id="11" w:name="_Toc384796963"/>
            <w:bookmarkEnd w:id="11"/>
            <w:r>
              <w:rPr>
                <w:rFonts w:hint="eastAsia" w:ascii="宋体" w:hAnsi="宋体" w:eastAsia="宋体" w:cs="宋体"/>
                <w:caps w:val="0"/>
                <w:spacing w:val="0"/>
                <w:kern w:val="0"/>
                <w:sz w:val="14"/>
                <w:szCs w:val="14"/>
                <w:lang w:val="en-US" w:eastAsia="zh-CN" w:bidi="ar"/>
              </w:rPr>
              <w:t>      </w:t>
            </w:r>
            <w:bookmarkStart w:id="12" w:name="_Toc380050034"/>
            <w:r>
              <w:rPr>
                <w:rFonts w:hint="eastAsia" w:ascii="宋体" w:hAnsi="宋体" w:eastAsia="宋体" w:cs="宋体"/>
                <w:caps w:val="0"/>
                <w:spacing w:val="0"/>
                <w:kern w:val="0"/>
                <w:sz w:val="20"/>
                <w:szCs w:val="20"/>
                <w:lang w:val="en-US" w:eastAsia="zh-CN" w:bidi="ar"/>
              </w:rPr>
              <w:t>3</w:t>
            </w:r>
            <w:bookmarkEnd w:id="12"/>
            <w:r>
              <w:rPr>
                <w:rFonts w:hint="eastAsia" w:ascii="宋体" w:hAnsi="宋体" w:eastAsia="宋体" w:cs="宋体"/>
                <w:caps w:val="0"/>
                <w:spacing w:val="0"/>
                <w:kern w:val="0"/>
                <w:sz w:val="20"/>
                <w:szCs w:val="20"/>
                <w:lang w:val="en-US" w:eastAsia="zh-CN" w:bidi="ar"/>
              </w:rPr>
              <w:t>月两会强调稳定住房消费，在全国经济下行压力仍然较大、各地库存居高不下的背景下，中央集中出台鼓励措施，国土部、住建部两部委发文，通过优化住房及用地供应规模、结构等方面进一步支持居民自住和改善性住房需求；央行等三部委对二套房商贷首付及公积金首套及二套首付的调整，财政、税务两部委减免二手房营业税，同时从新房和二手房两端发布重大优惠，</w:t>
            </w:r>
            <w:bookmarkStart w:id="13" w:name="_Toc398024653"/>
            <w:r>
              <w:rPr>
                <w:rFonts w:hint="eastAsia" w:ascii="宋体" w:hAnsi="宋体" w:eastAsia="宋体" w:cs="宋体"/>
                <w:caps w:val="0"/>
                <w:spacing w:val="0"/>
                <w:kern w:val="0"/>
                <w:sz w:val="20"/>
                <w:szCs w:val="20"/>
                <w:lang w:val="en-US" w:eastAsia="zh-CN" w:bidi="ar"/>
              </w:rPr>
              <w:t>对各级城市特别是改善型需求是重大利好，中央政策既有供应端的控制、优化，又有需求端的鼓励、支持。</w:t>
            </w:r>
            <w:r>
              <w:rPr>
                <w:rFonts w:hint="eastAsia" w:ascii="宋体" w:hAnsi="宋体" w:eastAsia="宋体" w:cs="宋体"/>
                <w:b/>
                <w:caps w:val="0"/>
                <w:spacing w:val="0"/>
                <w:kern w:val="0"/>
                <w:sz w:val="20"/>
                <w:szCs w:val="20"/>
                <w:lang w:val="en-US" w:eastAsia="zh-CN" w:bidi="ar"/>
              </w:rPr>
              <w:t>至此与房地产相关的各类稳消费政策已基本完备，接下来市场走势的关键在于具体政策的落实和执行</w:t>
            </w:r>
            <w:r>
              <w:rPr>
                <w:rFonts w:hint="eastAsia" w:ascii="宋体" w:hAnsi="宋体" w:eastAsia="宋体" w:cs="宋体"/>
                <w:caps w:val="0"/>
                <w:spacing w:val="0"/>
                <w:kern w:val="0"/>
                <w:sz w:val="20"/>
                <w:szCs w:val="20"/>
                <w:lang w:val="en-US" w:eastAsia="zh-CN" w:bidi="ar"/>
              </w:rPr>
              <w:t>。</w:t>
            </w:r>
            <w:bookmarkEnd w:id="13"/>
          </w:p>
          <w:p>
            <w:pPr>
              <w:pStyle w:val="3"/>
              <w:keepNext w:val="0"/>
              <w:keepLines w:val="0"/>
              <w:widowControl/>
              <w:suppressLineNumbers w:val="0"/>
              <w:spacing w:line="24" w:lineRule="atLeast"/>
            </w:pPr>
            <w:r>
              <w:rPr>
                <w:rFonts w:hint="eastAsia" w:ascii="宋体" w:hAnsi="宋体" w:eastAsia="宋体" w:cs="宋体"/>
                <w:caps w:val="0"/>
                <w:spacing w:val="0"/>
                <w:sz w:val="20"/>
                <w:szCs w:val="20"/>
              </w:rPr>
              <w:t>    二、楼市发展趋势分析</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t>土地状况：</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drawing>
                <wp:inline distT="0" distB="0" distL="114300" distR="114300">
                  <wp:extent cx="5334000" cy="1181100"/>
                  <wp:effectExtent l="0" t="0" r="0" b="7620"/>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4"/>
                          <a:stretch>
                            <a:fillRect/>
                          </a:stretch>
                        </pic:blipFill>
                        <pic:spPr>
                          <a:xfrm>
                            <a:off x="0" y="0"/>
                            <a:ext cx="5334000" cy="11811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b/>
                <w:caps w:val="0"/>
                <w:spacing w:val="0"/>
                <w:kern w:val="0"/>
                <w:sz w:val="20"/>
                <w:szCs w:val="20"/>
                <w:lang w:val="en-US" w:eastAsia="zh-CN" w:bidi="ar"/>
              </w:rPr>
              <w:t>供应情况：</w:t>
            </w:r>
            <w:r>
              <w:rPr>
                <w:rFonts w:hint="eastAsia" w:ascii="宋体" w:hAnsi="宋体" w:eastAsia="宋体" w:cs="宋体"/>
                <w:caps w:val="0"/>
                <w:spacing w:val="0"/>
                <w:kern w:val="0"/>
                <w:sz w:val="20"/>
                <w:szCs w:val="20"/>
                <w:lang w:val="en-US" w:eastAsia="zh-CN" w:bidi="ar"/>
              </w:rPr>
              <w:t>2015年3月，全国300个城市共推出土地1975宗，推出土地面积7281万平方米，环比增加16%，同比减少17%。其中，住宅类用地（含住宅用地及包含住宅用地的综合性用地）539宗，推出土地面积2016万平方米，环比增加3%，同比减少35%。</w:t>
            </w:r>
            <w:r>
              <w:rPr>
                <w:rFonts w:hint="eastAsia" w:ascii="宋体" w:hAnsi="宋体" w:eastAsia="宋体" w:cs="宋体"/>
                <w:b/>
                <w:caps w:val="0"/>
                <w:spacing w:val="0"/>
                <w:kern w:val="0"/>
                <w:sz w:val="20"/>
                <w:szCs w:val="20"/>
                <w:lang w:val="en-US" w:eastAsia="zh-CN" w:bidi="ar"/>
              </w:rPr>
              <w:t>一季度供应量月度数据均低于去年同期，总降幅超30%，本月首现环比增加</w:t>
            </w:r>
            <w:r>
              <w:rPr>
                <w:rFonts w:hint="eastAsia" w:ascii="宋体" w:hAnsi="宋体" w:eastAsia="宋体" w:cs="宋体"/>
                <w:caps w:val="0"/>
                <w:spacing w:val="0"/>
                <w:kern w:val="0"/>
                <w:sz w:val="20"/>
                <w:szCs w:val="20"/>
                <w:lang w:val="en-US" w:eastAsia="zh-CN" w:bidi="ar"/>
              </w:rPr>
              <w:t>。</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t>   成交情况：</w:t>
            </w:r>
            <w:r>
              <w:rPr>
                <w:rFonts w:hint="eastAsia" w:ascii="宋体" w:hAnsi="宋体" w:eastAsia="宋体" w:cs="宋体"/>
                <w:caps w:val="0"/>
                <w:spacing w:val="0"/>
                <w:kern w:val="0"/>
                <w:sz w:val="20"/>
                <w:szCs w:val="20"/>
                <w:lang w:val="en-US" w:eastAsia="zh-CN" w:bidi="ar"/>
              </w:rPr>
              <w:t>2015年3月，全国300个城市共成交土地1601宗，成交面积6097万平方米，环比增加50%，同比增加0.4%，其中，住宅用地（含住宅用地及包含住宅用地的综合型用地）405宗，成交面积1533万平米，环比增加1%，同比减少33%。</w:t>
            </w:r>
            <w:r>
              <w:rPr>
                <w:rFonts w:hint="eastAsia" w:ascii="宋体" w:hAnsi="宋体" w:eastAsia="宋体" w:cs="宋体"/>
                <w:b/>
                <w:caps w:val="0"/>
                <w:spacing w:val="0"/>
                <w:kern w:val="0"/>
                <w:sz w:val="20"/>
                <w:szCs w:val="20"/>
                <w:lang w:val="en-US" w:eastAsia="zh-CN" w:bidi="ar"/>
              </w:rPr>
              <w:t>主要城市供地放缓致使一季度成交量整体下降，宅地降幅高于总体</w:t>
            </w:r>
            <w:r>
              <w:rPr>
                <w:rFonts w:hint="eastAsia" w:ascii="宋体" w:hAnsi="宋体" w:eastAsia="宋体" w:cs="宋体"/>
                <w:caps w:val="0"/>
                <w:spacing w:val="0"/>
                <w:kern w:val="0"/>
                <w:sz w:val="20"/>
                <w:szCs w:val="20"/>
                <w:lang w:val="en-US" w:eastAsia="zh-CN" w:bidi="ar"/>
              </w:rPr>
              <w:t>。</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t>  成交价格：</w:t>
            </w:r>
            <w:r>
              <w:rPr>
                <w:rFonts w:hint="eastAsia" w:ascii="宋体" w:hAnsi="宋体" w:eastAsia="宋体" w:cs="宋体"/>
                <w:caps w:val="0"/>
                <w:spacing w:val="0"/>
                <w:kern w:val="0"/>
                <w:sz w:val="20"/>
                <w:szCs w:val="20"/>
                <w:lang w:val="en-US" w:eastAsia="zh-CN" w:bidi="ar"/>
              </w:rPr>
              <w:t>全国300个城市成交楼面均价为1020元/平方米，环比下跌17%，同比下跌13%，其中住宅类用地（含住宅用地及包含住宅用地的综合性用地）成交楼面均价为1733元/平方米，环比上涨7%，同比上涨2%。</w:t>
            </w:r>
            <w:r>
              <w:rPr>
                <w:rFonts w:hint="eastAsia" w:ascii="宋体" w:hAnsi="宋体" w:eastAsia="宋体" w:cs="宋体"/>
                <w:b/>
                <w:caps w:val="0"/>
                <w:spacing w:val="0"/>
                <w:kern w:val="0"/>
                <w:sz w:val="20"/>
                <w:szCs w:val="20"/>
                <w:lang w:val="en-US" w:eastAsia="zh-CN" w:bidi="ar"/>
              </w:rPr>
              <w:t>楼面均价年初上涨后逐渐回落，本月同环比双降，一季度均值较去年略低</w:t>
            </w:r>
            <w:r>
              <w:rPr>
                <w:rFonts w:hint="eastAsia" w:ascii="宋体" w:hAnsi="宋体" w:eastAsia="宋体" w:cs="宋体"/>
                <w:caps w:val="0"/>
                <w:spacing w:val="0"/>
                <w:kern w:val="0"/>
                <w:sz w:val="20"/>
                <w:szCs w:val="20"/>
                <w:lang w:val="en-US" w:eastAsia="zh-CN" w:bidi="ar"/>
              </w:rPr>
              <w:t>。</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房价情况：</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本月监测的100个城市中成交价格环比上涨的有43个，较上月增加了4个，其中乌鲁木齐、洛阳、太原涨幅超过1.5%，涨幅居首位；</w:t>
            </w:r>
            <w:r>
              <w:rPr>
                <w:rFonts w:hint="eastAsia" w:ascii="宋体" w:hAnsi="宋体" w:eastAsia="宋体" w:cs="宋体"/>
                <w:b/>
                <w:caps w:val="0"/>
                <w:spacing w:val="0"/>
                <w:kern w:val="0"/>
                <w:sz w:val="20"/>
                <w:szCs w:val="20"/>
                <w:lang w:val="en-US" w:eastAsia="zh-CN" w:bidi="ar"/>
              </w:rPr>
              <w:t>武汉</w:t>
            </w:r>
            <w:r>
              <w:rPr>
                <w:rFonts w:hint="eastAsia" w:ascii="宋体" w:hAnsi="宋体" w:eastAsia="宋体" w:cs="宋体"/>
                <w:caps w:val="0"/>
                <w:spacing w:val="0"/>
                <w:kern w:val="0"/>
                <w:sz w:val="20"/>
                <w:szCs w:val="20"/>
                <w:lang w:val="en-US" w:eastAsia="zh-CN" w:bidi="ar"/>
              </w:rPr>
              <w:t>、德州、绵阳、南宁涨幅在</w:t>
            </w:r>
            <w:r>
              <w:rPr>
                <w:rFonts w:hint="eastAsia" w:ascii="宋体" w:hAnsi="宋体" w:eastAsia="宋体" w:cs="宋体"/>
                <w:b/>
                <w:caps w:val="0"/>
                <w:spacing w:val="0"/>
                <w:kern w:val="0"/>
                <w:sz w:val="20"/>
                <w:szCs w:val="20"/>
                <w:lang w:val="en-US" w:eastAsia="zh-CN" w:bidi="ar"/>
              </w:rPr>
              <w:t>1%-1.5%之间</w:t>
            </w:r>
            <w:r>
              <w:rPr>
                <w:rFonts w:hint="eastAsia" w:ascii="宋体" w:hAnsi="宋体" w:eastAsia="宋体" w:cs="宋体"/>
                <w:caps w:val="0"/>
                <w:spacing w:val="0"/>
                <w:kern w:val="0"/>
                <w:sz w:val="20"/>
                <w:szCs w:val="20"/>
                <w:lang w:val="en-US" w:eastAsia="zh-CN" w:bidi="ar"/>
              </w:rPr>
              <w:t>，唐山、宝鸡住宅价格与上月持平。而其余55个城市均环比下跌，其中兰州、惠州、广州跌幅最大，在1.3%-1.6%。10个重点城市中3个上涨，较上月减少1个，其中</w:t>
            </w:r>
            <w:r>
              <w:rPr>
                <w:rFonts w:hint="eastAsia" w:ascii="宋体" w:hAnsi="宋体" w:eastAsia="宋体" w:cs="宋体"/>
                <w:b/>
                <w:caps w:val="0"/>
                <w:spacing w:val="0"/>
                <w:kern w:val="0"/>
                <w:sz w:val="20"/>
                <w:szCs w:val="20"/>
                <w:lang w:val="en-US" w:eastAsia="zh-CN" w:bidi="ar"/>
              </w:rPr>
              <w:t>武汉</w:t>
            </w:r>
            <w:r>
              <w:rPr>
                <w:rFonts w:hint="eastAsia" w:ascii="宋体" w:hAnsi="宋体" w:eastAsia="宋体" w:cs="宋体"/>
                <w:caps w:val="0"/>
                <w:spacing w:val="0"/>
                <w:kern w:val="0"/>
                <w:sz w:val="20"/>
                <w:szCs w:val="20"/>
                <w:lang w:val="en-US" w:eastAsia="zh-CN" w:bidi="ar"/>
              </w:rPr>
              <w:t>、深圳、上海涨幅最大，其环比上涨分别为</w:t>
            </w:r>
            <w:r>
              <w:rPr>
                <w:rFonts w:hint="eastAsia" w:ascii="宋体" w:hAnsi="宋体" w:eastAsia="宋体" w:cs="宋体"/>
                <w:b/>
                <w:caps w:val="0"/>
                <w:spacing w:val="0"/>
                <w:kern w:val="0"/>
                <w:sz w:val="20"/>
                <w:szCs w:val="20"/>
                <w:lang w:val="en-US" w:eastAsia="zh-CN" w:bidi="ar"/>
              </w:rPr>
              <w:t>1.42%</w:t>
            </w:r>
            <w:r>
              <w:rPr>
                <w:rFonts w:hint="eastAsia" w:ascii="宋体" w:hAnsi="宋体" w:eastAsia="宋体" w:cs="宋体"/>
                <w:caps w:val="0"/>
                <w:spacing w:val="0"/>
                <w:kern w:val="0"/>
                <w:sz w:val="20"/>
                <w:szCs w:val="20"/>
                <w:lang w:val="en-US" w:eastAsia="zh-CN" w:bidi="ar"/>
              </w:rPr>
              <w:t>、0.59%、0.41%；而其余城市均出现不同程度的下跌，跌幅均在0.75%以内。</w:t>
            </w:r>
            <w:r>
              <w:rPr>
                <w:rFonts w:hint="eastAsia" w:ascii="宋体" w:hAnsi="宋体" w:eastAsia="宋体" w:cs="宋体"/>
                <w:b/>
                <w:caps w:val="0"/>
                <w:spacing w:val="0"/>
                <w:kern w:val="0"/>
                <w:sz w:val="20"/>
                <w:szCs w:val="20"/>
                <w:lang w:val="en-US" w:eastAsia="zh-CN" w:bidi="ar"/>
              </w:rPr>
              <w:t>总体而言，本月百城住宅均价环比跌幅收窄，微跌0.15%，同比跌幅继续扩大，下跌4.35%</w:t>
            </w:r>
            <w:r>
              <w:rPr>
                <w:rFonts w:hint="eastAsia" w:ascii="宋体" w:hAnsi="宋体" w:eastAsia="宋体" w:cs="宋体"/>
                <w:caps w:val="0"/>
                <w:spacing w:val="0"/>
                <w:kern w:val="0"/>
                <w:sz w:val="20"/>
                <w:szCs w:val="20"/>
                <w:lang w:val="en-US" w:eastAsia="zh-CN" w:bidi="ar"/>
              </w:rPr>
              <w:t>。</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t>   本月宜昌楼市情况：</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5334000" cy="3743325"/>
                  <wp:effectExtent l="0" t="0" r="0" b="5715"/>
                  <wp:docPr id="8"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257"/>
                          <pic:cNvPicPr>
                            <a:picLocks noChangeAspect="1"/>
                          </pic:cNvPicPr>
                        </pic:nvPicPr>
                        <pic:blipFill>
                          <a:blip r:embed="rId5"/>
                          <a:stretch>
                            <a:fillRect/>
                          </a:stretch>
                        </pic:blipFill>
                        <pic:spPr>
                          <a:xfrm>
                            <a:off x="0" y="0"/>
                            <a:ext cx="5334000" cy="374332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阳春和煦的三月，宜昌楼市却显得格外静谧，</w:t>
            </w:r>
            <w:r>
              <w:rPr>
                <w:rFonts w:hint="eastAsia" w:ascii="宋体" w:hAnsi="宋体" w:eastAsia="宋体" w:cs="宋体"/>
                <w:b/>
                <w:caps w:val="0"/>
                <w:spacing w:val="0"/>
                <w:kern w:val="0"/>
                <w:sz w:val="20"/>
                <w:szCs w:val="20"/>
                <w:lang w:val="en-US" w:eastAsia="zh-CN" w:bidi="ar"/>
              </w:rPr>
              <w:t>本月成交1408套，环比2月份减少278套，环比下跌16%，</w:t>
            </w:r>
            <w:r>
              <w:rPr>
                <w:rFonts w:hint="eastAsia" w:ascii="宋体" w:hAnsi="宋体" w:eastAsia="宋体" w:cs="宋体"/>
                <w:caps w:val="0"/>
                <w:spacing w:val="0"/>
                <w:kern w:val="0"/>
                <w:sz w:val="20"/>
                <w:szCs w:val="20"/>
                <w:lang w:val="en-US" w:eastAsia="zh-CN" w:bidi="ar"/>
              </w:rPr>
              <w:t>分析其主要原因是：</w:t>
            </w:r>
            <w:r>
              <w:rPr>
                <w:rFonts w:hint="eastAsia" w:ascii="宋体" w:hAnsi="宋体" w:eastAsia="宋体" w:cs="宋体"/>
                <w:b/>
                <w:caps w:val="0"/>
                <w:spacing w:val="0"/>
                <w:kern w:val="0"/>
                <w:sz w:val="20"/>
                <w:szCs w:val="20"/>
                <w:lang w:val="en-US" w:eastAsia="zh-CN" w:bidi="ar"/>
              </w:rPr>
              <w:t>（1）三月份新开盘销售楼盘为数不多，各大楼盘主要去化库存剩余体量；（2）楼市调整销售节奏和开发计划还需要一段时间，但预计4月份宜昌楼市将会进入推盘蓄客的集中期，加之多部门“组合拳”新政出台，4月宜昌成交量有望进一步提高，逐渐从“楼市萎靡综合症”中慢慢复苏</w:t>
            </w:r>
            <w:r>
              <w:rPr>
                <w:rFonts w:hint="eastAsia" w:ascii="宋体" w:hAnsi="宋体" w:eastAsia="宋体" w:cs="宋体"/>
                <w:caps w:val="0"/>
                <w:spacing w:val="0"/>
                <w:kern w:val="0"/>
                <w:sz w:val="20"/>
                <w:szCs w:val="20"/>
                <w:lang w:val="en-US" w:eastAsia="zh-CN" w:bidi="ar"/>
              </w:rPr>
              <w:t>。</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t>本年及本月宜昌二手房成交情况：</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5334000" cy="3981450"/>
                  <wp:effectExtent l="0" t="0" r="0" b="11430"/>
                  <wp:docPr id="1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IMG_258"/>
                          <pic:cNvPicPr>
                            <a:picLocks noChangeAspect="1"/>
                          </pic:cNvPicPr>
                        </pic:nvPicPr>
                        <pic:blipFill>
                          <a:blip r:embed="rId6"/>
                          <a:stretch>
                            <a:fillRect/>
                          </a:stretch>
                        </pic:blipFill>
                        <pic:spPr>
                          <a:xfrm>
                            <a:off x="0" y="0"/>
                            <a:ext cx="5334000" cy="39814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距离3月1日《不动产登记暂行条例》实施已经一个月，制度进一步完善，但其对楼市的影响尚未显现。并未出现不少人预测的“抛房潮”现象。如上图所示，本月宜昌二手房市场成交479套，其中西陵区成交266套，伍家岗区成交152套。本月二手房成交量相对较低。</w:t>
            </w:r>
            <w:r>
              <w:rPr>
                <w:rFonts w:hint="eastAsia" w:ascii="宋体" w:hAnsi="宋体" w:eastAsia="宋体" w:cs="宋体"/>
                <w:b/>
                <w:caps w:val="0"/>
                <w:spacing w:val="0"/>
                <w:kern w:val="0"/>
                <w:sz w:val="20"/>
                <w:szCs w:val="20"/>
                <w:lang w:val="en-US" w:eastAsia="zh-CN" w:bidi="ar"/>
              </w:rPr>
              <w:t>分析其主要原因为近两年楼市低迷，买房人刚需一族占比较大，投资型买房人占比较少，所以二手房成交量低，但是随着央行降准、降息，财政部门二手房满2年免征营业税政策的出台，二手房市场挂牌量、成交量会有一定上浮</w:t>
            </w:r>
            <w:r>
              <w:rPr>
                <w:rFonts w:hint="eastAsia" w:ascii="宋体" w:hAnsi="宋体" w:eastAsia="宋体" w:cs="宋体"/>
                <w:caps w:val="0"/>
                <w:spacing w:val="0"/>
                <w:kern w:val="0"/>
                <w:sz w:val="20"/>
                <w:szCs w:val="20"/>
                <w:lang w:val="en-US" w:eastAsia="zh-CN" w:bidi="ar"/>
              </w:rPr>
              <w:t>。 </w:t>
            </w:r>
          </w:p>
          <w:p>
            <w:pPr>
              <w:pStyle w:val="2"/>
              <w:keepNext w:val="0"/>
              <w:keepLines w:val="0"/>
              <w:widowControl/>
              <w:suppressLineNumbers w:val="0"/>
              <w:spacing w:line="24" w:lineRule="atLeast"/>
              <w:jc w:val="center"/>
            </w:pPr>
            <w:r>
              <w:rPr>
                <w:rFonts w:hint="eastAsia" w:ascii="宋体" w:hAnsi="宋体" w:eastAsia="宋体" w:cs="宋体"/>
                <w:caps w:val="0"/>
                <w:spacing w:val="0"/>
                <w:sz w:val="27"/>
                <w:szCs w:val="27"/>
              </w:rPr>
              <w:t>第二部分   土地市场分析</w:t>
            </w:r>
          </w:p>
          <w:p>
            <w:pPr>
              <w:pStyle w:val="3"/>
              <w:keepNext w:val="0"/>
              <w:keepLines w:val="0"/>
              <w:widowControl/>
              <w:suppressLineNumbers w:val="0"/>
              <w:spacing w:line="24" w:lineRule="atLeast"/>
            </w:pPr>
            <w:bookmarkStart w:id="14" w:name="_Toc398024655"/>
            <w:bookmarkEnd w:id="14"/>
            <w:bookmarkStart w:id="15" w:name="_Toc384797622"/>
            <w:bookmarkEnd w:id="15"/>
            <w:bookmarkStart w:id="16" w:name="_Toc384797306"/>
            <w:bookmarkEnd w:id="16"/>
            <w:bookmarkStart w:id="17" w:name="_Toc384797224"/>
            <w:bookmarkEnd w:id="17"/>
            <w:bookmarkStart w:id="18" w:name="_Toc384796965"/>
            <w:bookmarkEnd w:id="18"/>
            <w:bookmarkStart w:id="19" w:name="_Toc380050036"/>
            <w:bookmarkEnd w:id="19"/>
            <w:bookmarkStart w:id="20" w:name="_Toc353178132"/>
            <w:bookmarkEnd w:id="20"/>
            <w:bookmarkStart w:id="21" w:name="_Toc347757546"/>
            <w:bookmarkEnd w:id="21"/>
            <w:r>
              <w:rPr>
                <w:caps w:val="0"/>
                <w:spacing w:val="0"/>
              </w:rPr>
              <w:t>    </w:t>
            </w:r>
            <w:bookmarkStart w:id="22" w:name="_Toc339981458"/>
            <w:r>
              <w:rPr>
                <w:rFonts w:hint="eastAsia" w:ascii="宋体" w:hAnsi="宋体" w:eastAsia="宋体" w:cs="宋体"/>
                <w:caps w:val="0"/>
                <w:spacing w:val="0"/>
                <w:sz w:val="20"/>
                <w:szCs w:val="20"/>
              </w:rPr>
              <w:t>一、土地供应市场解析</w:t>
            </w:r>
            <w:bookmarkEnd w:id="22"/>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bookmarkStart w:id="23" w:name="_Toc380050037"/>
            <w:bookmarkEnd w:id="23"/>
            <w:r>
              <w:rPr>
                <w:rFonts w:hint="eastAsia" w:ascii="宋体" w:hAnsi="宋体" w:eastAsia="宋体" w:cs="宋体"/>
                <w:caps w:val="0"/>
                <w:spacing w:val="0"/>
                <w:kern w:val="0"/>
                <w:sz w:val="14"/>
                <w:szCs w:val="14"/>
                <w:lang w:val="en-US" w:eastAsia="zh-CN" w:bidi="ar"/>
              </w:rPr>
              <w:t>    </w:t>
            </w:r>
            <w:bookmarkStart w:id="24" w:name="_Toc350245826"/>
            <w:r>
              <w:rPr>
                <w:rFonts w:hint="eastAsia" w:ascii="宋体" w:hAnsi="宋体" w:eastAsia="宋体" w:cs="宋体"/>
                <w:b/>
                <w:caps w:val="0"/>
                <w:spacing w:val="0"/>
                <w:kern w:val="0"/>
                <w:sz w:val="20"/>
                <w:szCs w:val="20"/>
                <w:lang w:val="en-US" w:eastAsia="zh-CN" w:bidi="ar"/>
              </w:rPr>
              <w:t>1</w:t>
            </w:r>
            <w:bookmarkEnd w:id="24"/>
            <w:r>
              <w:rPr>
                <w:rFonts w:hint="eastAsia" w:ascii="宋体" w:hAnsi="宋体" w:eastAsia="宋体" w:cs="宋体"/>
                <w:b/>
                <w:caps w:val="0"/>
                <w:spacing w:val="0"/>
                <w:kern w:val="0"/>
                <w:sz w:val="20"/>
                <w:szCs w:val="20"/>
                <w:lang w:val="en-US" w:eastAsia="zh-CN" w:bidi="ar"/>
              </w:rPr>
              <w:t>、土地供应情况</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本月共出让地块1宗，出让总面积约2.6万方，环比减少近7万方，出让总额2397万元，环比减少363万元。</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2月出让地块详情</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drawing>
                <wp:inline distT="0" distB="0" distL="114300" distR="114300">
                  <wp:extent cx="5334000" cy="552450"/>
                  <wp:effectExtent l="0" t="0" r="0" b="11430"/>
                  <wp:docPr id="15"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IMG_259"/>
                          <pic:cNvPicPr>
                            <a:picLocks noChangeAspect="1"/>
                          </pic:cNvPicPr>
                        </pic:nvPicPr>
                        <pic:blipFill>
                          <a:blip r:embed="rId7"/>
                          <a:stretch>
                            <a:fillRect/>
                          </a:stretch>
                        </pic:blipFill>
                        <pic:spPr>
                          <a:xfrm>
                            <a:off x="0" y="0"/>
                            <a:ext cx="5334000" cy="5524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2014年3月-2015年3月宜昌城区土地供给横向对比</w:t>
            </w:r>
          </w:p>
          <w:p>
            <w:pPr>
              <w:pStyle w:val="4"/>
              <w:keepNext w:val="0"/>
              <w:keepLines w:val="0"/>
              <w:widowControl/>
              <w:suppressLineNumbers w:val="0"/>
              <w:spacing w:line="24" w:lineRule="atLeast"/>
              <w:jc w:val="left"/>
            </w:pPr>
            <w:r>
              <w:rPr>
                <w:rFonts w:hint="eastAsia" w:ascii="宋体" w:hAnsi="宋体" w:eastAsia="宋体" w:cs="宋体"/>
                <w:b/>
                <w:caps w:val="0"/>
                <w:spacing w:val="0"/>
                <w:sz w:val="20"/>
                <w:szCs w:val="20"/>
              </w:rPr>
              <w:t>     </w:t>
            </w:r>
            <w:r>
              <w:rPr>
                <w:rFonts w:hint="eastAsia" w:ascii="宋体" w:hAnsi="宋体" w:eastAsia="宋体" w:cs="宋体"/>
                <w:b/>
                <w:caps w:val="0"/>
                <w:spacing w:val="0"/>
                <w:sz w:val="20"/>
                <w:szCs w:val="20"/>
              </w:rPr>
              <w:drawing>
                <wp:inline distT="0" distB="0" distL="114300" distR="114300">
                  <wp:extent cx="5334000" cy="1495425"/>
                  <wp:effectExtent l="0" t="0" r="0" b="13335"/>
                  <wp:docPr id="9"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IMG_260"/>
                          <pic:cNvPicPr>
                            <a:picLocks noChangeAspect="1"/>
                          </pic:cNvPicPr>
                        </pic:nvPicPr>
                        <pic:blipFill>
                          <a:blip r:embed="rId8"/>
                          <a:stretch>
                            <a:fillRect/>
                          </a:stretch>
                        </pic:blipFill>
                        <pic:spPr>
                          <a:xfrm>
                            <a:off x="0" y="0"/>
                            <a:ext cx="5334000" cy="149542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2、出让土地特征</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w:t>
            </w:r>
            <w:bookmarkStart w:id="25" w:name="_Toc398024656"/>
            <w:r>
              <w:rPr>
                <w:rFonts w:hint="eastAsia" w:ascii="宋体" w:hAnsi="宋体" w:eastAsia="宋体" w:cs="宋体"/>
                <w:caps w:val="0"/>
                <w:spacing w:val="0"/>
                <w:kern w:val="0"/>
                <w:sz w:val="20"/>
                <w:szCs w:val="20"/>
                <w:lang w:val="en-US" w:eastAsia="zh-CN" w:bidi="ar"/>
              </w:rPr>
              <w:t>本月无住宅、商住类用地出让，唯一挂牌的</w:t>
            </w:r>
            <w:r>
              <w:rPr>
                <w:rFonts w:hint="eastAsia" w:ascii="宋体" w:hAnsi="宋体" w:eastAsia="宋体" w:cs="宋体"/>
                <w:b/>
                <w:caps w:val="0"/>
                <w:spacing w:val="0"/>
                <w:kern w:val="0"/>
                <w:sz w:val="20"/>
                <w:szCs w:val="20"/>
                <w:lang w:val="en-US" w:eastAsia="zh-CN" w:bidi="ar"/>
              </w:rPr>
              <w:t>【宜土网挂（2015）8号】</w:t>
            </w:r>
            <w:r>
              <w:rPr>
                <w:rFonts w:hint="eastAsia" w:ascii="宋体" w:hAnsi="宋体" w:eastAsia="宋体" w:cs="宋体"/>
                <w:caps w:val="0"/>
                <w:spacing w:val="0"/>
                <w:kern w:val="0"/>
                <w:sz w:val="20"/>
                <w:szCs w:val="20"/>
                <w:lang w:val="en-US" w:eastAsia="zh-CN" w:bidi="ar"/>
              </w:rPr>
              <w:t>为商业用地，位于点军区五龙路北侧，</w:t>
            </w:r>
            <w:r>
              <w:rPr>
                <w:rFonts w:hint="eastAsia" w:ascii="宋体" w:hAnsi="宋体" w:eastAsia="宋体" w:cs="宋体"/>
                <w:b/>
                <w:caps w:val="0"/>
                <w:spacing w:val="0"/>
                <w:kern w:val="0"/>
                <w:sz w:val="20"/>
                <w:szCs w:val="20"/>
                <w:lang w:val="en-US" w:eastAsia="zh-CN" w:bidi="ar"/>
              </w:rPr>
              <w:t>预计未来存放量为4.7万方。</w:t>
            </w:r>
            <w:bookmarkEnd w:id="25"/>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本月宜昌土地供给量同环比均呈现大幅减少，分析原因</w:t>
            </w:r>
            <w:r>
              <w:rPr>
                <w:rFonts w:hint="eastAsia" w:ascii="宋体" w:hAnsi="宋体" w:eastAsia="宋体" w:cs="宋体"/>
                <w:b/>
                <w:caps w:val="0"/>
                <w:spacing w:val="0"/>
                <w:kern w:val="0"/>
                <w:sz w:val="20"/>
                <w:szCs w:val="20"/>
                <w:lang w:val="en-US" w:eastAsia="zh-CN" w:bidi="ar"/>
              </w:rPr>
              <w:t>一方面受楼市“萎靡综合症”影响，各大开发商拿地不积极，致使政府供地热情降温，另一方面3月末，国土部和住建部联合下发《2015年住房及用地供应结构通知》，提出住房供应偏多的县市住宅供应用地减少或暂停供应计划，集中去化库存体量，因此国土部门减少土地供应，</w:t>
            </w:r>
            <w:r>
              <w:rPr>
                <w:rFonts w:hint="eastAsia" w:ascii="宋体" w:hAnsi="宋体" w:eastAsia="宋体" w:cs="宋体"/>
                <w:caps w:val="0"/>
                <w:spacing w:val="0"/>
                <w:kern w:val="0"/>
                <w:sz w:val="20"/>
                <w:szCs w:val="20"/>
                <w:lang w:val="en-US" w:eastAsia="zh-CN" w:bidi="ar"/>
              </w:rPr>
              <w:t>致使本月土地供应量仅为一宗商业用地。</w:t>
            </w:r>
          </w:p>
          <w:p>
            <w:pPr>
              <w:pStyle w:val="3"/>
              <w:keepNext w:val="0"/>
              <w:keepLines w:val="0"/>
              <w:widowControl/>
              <w:suppressLineNumbers w:val="0"/>
              <w:spacing w:line="24" w:lineRule="atLeast"/>
              <w:jc w:val="left"/>
            </w:pPr>
            <w:r>
              <w:rPr>
                <w:rFonts w:hint="eastAsia" w:ascii="宋体" w:hAnsi="宋体" w:eastAsia="宋体" w:cs="宋体"/>
                <w:caps w:val="0"/>
                <w:spacing w:val="0"/>
                <w:sz w:val="20"/>
                <w:szCs w:val="20"/>
              </w:rPr>
              <w:t>   二、本月土地成交分析</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1、土地成交情况</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本月成交地块13宗，成交总面积约39.4万方，成交金额约12510万元，成交均价21万元/亩。本月成交面积环比减少约2.4万方，同比减少3.7万方。</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2月成交地块详情</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drawing>
                <wp:inline distT="0" distB="0" distL="114300" distR="114300">
                  <wp:extent cx="5334000" cy="4810125"/>
                  <wp:effectExtent l="0" t="0" r="0" b="5715"/>
                  <wp:docPr id="11"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IMG_261"/>
                          <pic:cNvPicPr>
                            <a:picLocks noChangeAspect="1"/>
                          </pic:cNvPicPr>
                        </pic:nvPicPr>
                        <pic:blipFill>
                          <a:blip r:embed="rId9"/>
                          <a:stretch>
                            <a:fillRect/>
                          </a:stretch>
                        </pic:blipFill>
                        <pic:spPr>
                          <a:xfrm>
                            <a:off x="0" y="0"/>
                            <a:ext cx="5334000" cy="481012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2、成交土地特征</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从用地性质上来看，</w:t>
            </w:r>
            <w:r>
              <w:rPr>
                <w:rFonts w:hint="eastAsia" w:ascii="宋体" w:hAnsi="宋体" w:eastAsia="宋体" w:cs="宋体"/>
                <w:b/>
                <w:caps w:val="0"/>
                <w:spacing w:val="0"/>
                <w:kern w:val="0"/>
                <w:sz w:val="20"/>
                <w:szCs w:val="20"/>
                <w:lang w:val="en-US" w:eastAsia="zh-CN" w:bidi="ar"/>
              </w:rPr>
              <w:t>主要为工业用地</w:t>
            </w:r>
            <w:r>
              <w:rPr>
                <w:rFonts w:hint="eastAsia" w:ascii="宋体" w:hAnsi="宋体" w:eastAsia="宋体" w:cs="宋体"/>
                <w:caps w:val="0"/>
                <w:spacing w:val="0"/>
                <w:kern w:val="0"/>
                <w:sz w:val="20"/>
                <w:szCs w:val="20"/>
                <w:lang w:val="en-US" w:eastAsia="zh-CN" w:bidi="ar"/>
              </w:rPr>
              <w:t>，本月成交的地块为商业用地1宗，工业用地12宗。从区域来看，本月成交的一块</w:t>
            </w:r>
            <w:r>
              <w:rPr>
                <w:rFonts w:hint="eastAsia" w:ascii="宋体" w:hAnsi="宋体" w:eastAsia="宋体" w:cs="宋体"/>
                <w:b/>
                <w:caps w:val="0"/>
                <w:spacing w:val="0"/>
                <w:kern w:val="0"/>
                <w:sz w:val="20"/>
                <w:szCs w:val="20"/>
                <w:lang w:val="en-US" w:eastAsia="zh-CN" w:bidi="ar"/>
              </w:rPr>
              <w:t>商业类用地在高新区。</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3、本月重点成交地块介绍</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本月成交商业地块：【宜土网挂（2015）1号】</w:t>
            </w:r>
            <w:r>
              <w:rPr>
                <w:rFonts w:hint="eastAsia" w:ascii="宋体" w:hAnsi="宋体" w:eastAsia="宋体" w:cs="宋体"/>
                <w:caps w:val="0"/>
                <w:spacing w:val="0"/>
                <w:kern w:val="0"/>
                <w:sz w:val="20"/>
                <w:szCs w:val="20"/>
                <w:lang w:val="en-US" w:eastAsia="zh-CN" w:bidi="ar"/>
              </w:rPr>
              <w:t>，规划用地性质为加油加气用地，地块由湖北丰泰投资有限公司竞得，地块位于宜昌高新区生物产业园白岗路，总占面约3.58亩（2385.73㎡），容积率0.6，总建面估算约0.14万方（只含地上建筑面积），成交价226万元/亩，楼面地价5785元/㎡。</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本月成交工业地块：【宜土网挂（2015）3号】</w:t>
            </w:r>
            <w:r>
              <w:rPr>
                <w:rFonts w:hint="eastAsia" w:ascii="宋体" w:hAnsi="宋体" w:eastAsia="宋体" w:cs="宋体"/>
                <w:caps w:val="0"/>
                <w:spacing w:val="0"/>
                <w:kern w:val="0"/>
                <w:sz w:val="20"/>
                <w:szCs w:val="20"/>
                <w:lang w:val="en-US" w:eastAsia="zh-CN" w:bidi="ar"/>
              </w:rPr>
              <w:t>地块由东土科技（宜昌）有限公司竞得，位于宜昌高新区电子信息产业园，总占面约199.06亩（132705.86㎡），容积率2.0，总建面约26.54万方（只含地上建筑面积），成交价约19万元/亩，楼面地价约为144元/㎡。</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4、2014年3月—2015年3月土地市场成交走势</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2014年3月—2015年3月宜昌土地成交面积走势图    2014年3月—2015年3月宜昌土地成交价格走势图</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drawing>
                <wp:inline distT="0" distB="0" distL="114300" distR="114300">
                  <wp:extent cx="2514600" cy="1333500"/>
                  <wp:effectExtent l="0" t="0" r="0" b="7620"/>
                  <wp:docPr id="4"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IMG_262"/>
                          <pic:cNvPicPr>
                            <a:picLocks noChangeAspect="1"/>
                          </pic:cNvPicPr>
                        </pic:nvPicPr>
                        <pic:blipFill>
                          <a:blip r:embed="rId10"/>
                          <a:stretch>
                            <a:fillRect/>
                          </a:stretch>
                        </pic:blipFill>
                        <pic:spPr>
                          <a:xfrm>
                            <a:off x="0" y="0"/>
                            <a:ext cx="2514600" cy="1333500"/>
                          </a:xfrm>
                          <a:prstGeom prst="rect">
                            <a:avLst/>
                          </a:prstGeom>
                          <a:noFill/>
                          <a:ln w="9525">
                            <a:noFill/>
                          </a:ln>
                        </pic:spPr>
                      </pic:pic>
                    </a:graphicData>
                  </a:graphic>
                </wp:inline>
              </w:drawing>
            </w:r>
            <w:r>
              <w:rPr>
                <w:rFonts w:hint="eastAsia" w:ascii="宋体" w:hAnsi="宋体" w:eastAsia="宋体" w:cs="宋体"/>
                <w:b/>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drawing>
                <wp:inline distT="0" distB="0" distL="114300" distR="114300">
                  <wp:extent cx="2457450" cy="1333500"/>
                  <wp:effectExtent l="0" t="0" r="11430" b="7620"/>
                  <wp:docPr id="1"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IMG_263"/>
                          <pic:cNvPicPr>
                            <a:picLocks noChangeAspect="1"/>
                          </pic:cNvPicPr>
                        </pic:nvPicPr>
                        <pic:blipFill>
                          <a:blip r:embed="rId11"/>
                          <a:stretch>
                            <a:fillRect/>
                          </a:stretch>
                        </pic:blipFill>
                        <pic:spPr>
                          <a:xfrm>
                            <a:off x="0" y="0"/>
                            <a:ext cx="2457450" cy="13335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如上图所示，土地成交面积在去年12月抬头上升之后连续</w:t>
            </w:r>
            <w:r>
              <w:rPr>
                <w:rFonts w:hint="eastAsia" w:ascii="宋体" w:hAnsi="宋体" w:eastAsia="宋体" w:cs="宋体"/>
                <w:b/>
                <w:caps w:val="0"/>
                <w:spacing w:val="0"/>
                <w:kern w:val="0"/>
                <w:sz w:val="20"/>
                <w:szCs w:val="20"/>
                <w:lang w:val="en-US" w:eastAsia="zh-CN" w:bidi="ar"/>
              </w:rPr>
              <w:t>3个月处于滑落状态</w:t>
            </w:r>
            <w:r>
              <w:rPr>
                <w:rFonts w:hint="eastAsia" w:ascii="宋体" w:hAnsi="宋体" w:eastAsia="宋体" w:cs="宋体"/>
                <w:caps w:val="0"/>
                <w:spacing w:val="0"/>
                <w:kern w:val="0"/>
                <w:sz w:val="20"/>
                <w:szCs w:val="20"/>
                <w:lang w:val="en-US" w:eastAsia="zh-CN" w:bidi="ar"/>
              </w:rPr>
              <w:t>，本月土地成交量环比减少了6%,其主要原因是</w:t>
            </w:r>
            <w:r>
              <w:rPr>
                <w:rFonts w:hint="eastAsia" w:ascii="宋体" w:hAnsi="宋体" w:eastAsia="宋体" w:cs="宋体"/>
                <w:b/>
                <w:caps w:val="0"/>
                <w:spacing w:val="0"/>
                <w:kern w:val="0"/>
                <w:sz w:val="20"/>
                <w:szCs w:val="20"/>
                <w:lang w:val="en-US" w:eastAsia="zh-CN" w:bidi="ar"/>
              </w:rPr>
              <w:t>本月成交的13宗土地面积中有4宗是1万平米以下，7宗是1-5万平米，从而导致成交面积量呈现同环比下降，出现成交宗数上升但成交面积下降的现象</w:t>
            </w:r>
            <w:r>
              <w:rPr>
                <w:rFonts w:hint="eastAsia" w:ascii="宋体" w:hAnsi="宋体" w:eastAsia="宋体" w:cs="宋体"/>
                <w:caps w:val="0"/>
                <w:spacing w:val="0"/>
                <w:kern w:val="0"/>
                <w:sz w:val="20"/>
                <w:szCs w:val="20"/>
                <w:lang w:val="en-US" w:eastAsia="zh-CN" w:bidi="ar"/>
              </w:rPr>
              <w:t>。价格方面，未能持续2月份的上升势头，本月呈现大幅度下滑。其主要原因是</w:t>
            </w:r>
            <w:r>
              <w:rPr>
                <w:rFonts w:hint="eastAsia" w:ascii="宋体" w:hAnsi="宋体" w:eastAsia="宋体" w:cs="宋体"/>
                <w:b/>
                <w:caps w:val="0"/>
                <w:spacing w:val="0"/>
                <w:kern w:val="0"/>
                <w:sz w:val="20"/>
                <w:szCs w:val="20"/>
                <w:lang w:val="en-US" w:eastAsia="zh-CN" w:bidi="ar"/>
              </w:rPr>
              <w:t>本月成交地块为工业用地，此类地块价值偏低，</w:t>
            </w:r>
            <w:r>
              <w:rPr>
                <w:rFonts w:hint="eastAsia" w:ascii="宋体" w:hAnsi="宋体" w:eastAsia="宋体" w:cs="宋体"/>
                <w:caps w:val="0"/>
                <w:spacing w:val="0"/>
                <w:kern w:val="0"/>
                <w:sz w:val="20"/>
                <w:szCs w:val="20"/>
                <w:lang w:val="en-US" w:eastAsia="zh-CN" w:bidi="ar"/>
              </w:rPr>
              <w:t>因此三月份呈现出</w:t>
            </w:r>
            <w:r>
              <w:rPr>
                <w:rFonts w:hint="eastAsia" w:ascii="宋体" w:hAnsi="宋体" w:eastAsia="宋体" w:cs="宋体"/>
                <w:b/>
                <w:caps w:val="0"/>
                <w:spacing w:val="0"/>
                <w:kern w:val="0"/>
                <w:sz w:val="20"/>
                <w:szCs w:val="20"/>
                <w:lang w:val="en-US" w:eastAsia="zh-CN" w:bidi="ar"/>
              </w:rPr>
              <w:t>“量价齐低”</w:t>
            </w:r>
            <w:r>
              <w:rPr>
                <w:rFonts w:hint="eastAsia" w:ascii="宋体" w:hAnsi="宋体" w:eastAsia="宋体" w:cs="宋体"/>
                <w:caps w:val="0"/>
                <w:spacing w:val="0"/>
                <w:kern w:val="0"/>
                <w:sz w:val="20"/>
                <w:szCs w:val="20"/>
                <w:lang w:val="en-US" w:eastAsia="zh-CN" w:bidi="ar"/>
              </w:rPr>
              <w:t>的现象。</w:t>
            </w:r>
          </w:p>
          <w:p>
            <w:pPr>
              <w:pStyle w:val="2"/>
              <w:keepNext w:val="0"/>
              <w:keepLines w:val="0"/>
              <w:widowControl/>
              <w:suppressLineNumbers w:val="0"/>
              <w:spacing w:line="24" w:lineRule="atLeast"/>
              <w:jc w:val="center"/>
            </w:pPr>
            <w:r>
              <w:rPr>
                <w:rFonts w:hint="eastAsia" w:ascii="宋体" w:hAnsi="宋体" w:eastAsia="宋体" w:cs="宋体"/>
                <w:caps w:val="0"/>
                <w:spacing w:val="0"/>
                <w:sz w:val="27"/>
                <w:szCs w:val="27"/>
              </w:rPr>
              <w:t>第三部分   各区楼市表现</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宜昌楼市主要动态：</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t>本月认筹项目有：</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长楹观邸认筹2万抵4万；</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华鹏梧桐邑认筹1万抵3万；</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易家居认筹1万抵3万；</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城中半岛认筹1万抵8万。</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t>本月新开盘项目有：</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3月15日，江山多娇4期7号楼加推；</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t>预计下月开盘项目有：</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弘洋拉菲小镇4月6号开盘；</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城中半岛预计4月开盘；</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东辰雅园预计4月开盘；</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月星国际城预计4月开盘；</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碧桂园预计4月份开盘；</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中交宜城春晓预计4月份开盘。</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t>主城区其他重点项目动态：</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月星国际城“30元换房”活动；</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恒大绿洲“乒乓球”大赛活动；</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宜昌中央商务区滨江项目奠基；</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中交宜城春晓“风筝彩绘”DIY活动；</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江南星城“游车溪、鸣翠谷赏花”活动。</w:t>
            </w:r>
            <w:bookmarkStart w:id="26" w:name="_Toc398024658"/>
            <w:bookmarkEnd w:id="26"/>
            <w:bookmarkStart w:id="27" w:name="_Toc384797625"/>
            <w:bookmarkEnd w:id="27"/>
            <w:bookmarkStart w:id="28" w:name="_Toc384797309"/>
            <w:bookmarkEnd w:id="28"/>
            <w:bookmarkStart w:id="29" w:name="_Toc384797227"/>
            <w:bookmarkEnd w:id="29"/>
            <w:bookmarkStart w:id="30" w:name="_Toc384796968"/>
            <w:bookmarkEnd w:id="30"/>
            <w:bookmarkStart w:id="31" w:name="_Toc380050041"/>
            <w:bookmarkEnd w:id="31"/>
            <w:bookmarkStart w:id="32" w:name="_Toc353178136"/>
            <w:bookmarkEnd w:id="32"/>
            <w:bookmarkStart w:id="33" w:name="_Toc347757549"/>
            <w:bookmarkEnd w:id="33"/>
            <w:bookmarkStart w:id="34" w:name="_Toc345167233"/>
            <w:bookmarkEnd w:id="34"/>
          </w:p>
          <w:p>
            <w:pPr>
              <w:pStyle w:val="3"/>
              <w:keepNext w:val="0"/>
              <w:keepLines w:val="0"/>
              <w:widowControl/>
              <w:suppressLineNumbers w:val="0"/>
              <w:spacing w:line="24" w:lineRule="atLeast"/>
              <w:jc w:val="left"/>
            </w:pPr>
            <w:r>
              <w:rPr>
                <w:rFonts w:hint="eastAsia" w:ascii="宋体" w:hAnsi="宋体" w:eastAsia="宋体" w:cs="宋体"/>
                <w:caps w:val="0"/>
                <w:spacing w:val="0"/>
                <w:sz w:val="20"/>
                <w:szCs w:val="20"/>
              </w:rPr>
              <w:t>    一、西陵区</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区内主要楼盘动态</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5334000" cy="3457575"/>
                  <wp:effectExtent l="0" t="0" r="0" b="1905"/>
                  <wp:docPr id="2"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descr="IMG_264"/>
                          <pic:cNvPicPr>
                            <a:picLocks noChangeAspect="1"/>
                          </pic:cNvPicPr>
                        </pic:nvPicPr>
                        <pic:blipFill>
                          <a:blip r:embed="rId12"/>
                          <a:stretch>
                            <a:fillRect/>
                          </a:stretch>
                        </pic:blipFill>
                        <pic:spPr>
                          <a:xfrm>
                            <a:off x="0" y="0"/>
                            <a:ext cx="5334000" cy="345757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2543175" cy="1733550"/>
                  <wp:effectExtent l="0" t="0" r="1905" b="3810"/>
                  <wp:docPr id="7"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descr="IMG_265"/>
                          <pic:cNvPicPr>
                            <a:picLocks noChangeAspect="1"/>
                          </pic:cNvPicPr>
                        </pic:nvPicPr>
                        <pic:blipFill>
                          <a:blip r:embed="rId13"/>
                          <a:stretch>
                            <a:fillRect/>
                          </a:stretch>
                        </pic:blipFill>
                        <pic:spPr>
                          <a:xfrm>
                            <a:off x="0" y="0"/>
                            <a:ext cx="2543175" cy="1733550"/>
                          </a:xfrm>
                          <a:prstGeom prst="rect">
                            <a:avLst/>
                          </a:prstGeom>
                          <a:noFill/>
                          <a:ln w="9525">
                            <a:noFill/>
                          </a:ln>
                        </pic:spPr>
                      </pic:pic>
                    </a:graphicData>
                  </a:graphic>
                </wp:inline>
              </w:drawing>
            </w: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2628900" cy="1733550"/>
                  <wp:effectExtent l="0" t="0" r="7620" b="3810"/>
                  <wp:docPr id="13"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descr="IMG_266"/>
                          <pic:cNvPicPr>
                            <a:picLocks noChangeAspect="1"/>
                          </pic:cNvPicPr>
                        </pic:nvPicPr>
                        <pic:blipFill>
                          <a:blip r:embed="rId14"/>
                          <a:stretch>
                            <a:fillRect/>
                          </a:stretch>
                        </pic:blipFill>
                        <pic:spPr>
                          <a:xfrm>
                            <a:off x="0" y="0"/>
                            <a:ext cx="2628900" cy="1733550"/>
                          </a:xfrm>
                          <a:prstGeom prst="rect">
                            <a:avLst/>
                          </a:prstGeom>
                          <a:noFill/>
                          <a:ln w="9525">
                            <a:noFill/>
                          </a:ln>
                        </pic:spPr>
                      </pic:pic>
                    </a:graphicData>
                  </a:graphic>
                </wp:inline>
              </w:drawing>
            </w:r>
          </w:p>
          <w:p>
            <w:pPr>
              <w:pStyle w:val="3"/>
              <w:keepNext w:val="0"/>
              <w:keepLines w:val="0"/>
              <w:widowControl/>
              <w:suppressLineNumbers w:val="0"/>
              <w:spacing w:line="24" w:lineRule="atLeast"/>
              <w:jc w:val="left"/>
            </w:pPr>
            <w:r>
              <w:rPr>
                <w:rFonts w:hint="eastAsia" w:ascii="宋体" w:hAnsi="宋体" w:eastAsia="宋体" w:cs="宋体"/>
                <w:caps w:val="0"/>
                <w:spacing w:val="0"/>
                <w:sz w:val="20"/>
                <w:szCs w:val="20"/>
              </w:rPr>
              <w:t>    二、伍家区</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1、区内主要楼盘动态</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4533900" cy="4533900"/>
                  <wp:effectExtent l="0" t="0" r="7620" b="7620"/>
                  <wp:docPr id="10"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descr="IMG_267"/>
                          <pic:cNvPicPr>
                            <a:picLocks noChangeAspect="1"/>
                          </pic:cNvPicPr>
                        </pic:nvPicPr>
                        <pic:blipFill>
                          <a:blip r:embed="rId15"/>
                          <a:stretch>
                            <a:fillRect/>
                          </a:stretch>
                        </pic:blipFill>
                        <pic:spPr>
                          <a:xfrm>
                            <a:off x="0" y="0"/>
                            <a:ext cx="4533900" cy="45339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2、区内重点项目调查</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项目名称：江山多娇</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□地理位置：</w:t>
            </w:r>
            <w:r>
              <w:rPr>
                <w:rFonts w:hint="eastAsia" w:ascii="宋体" w:hAnsi="宋体" w:eastAsia="宋体" w:cs="宋体"/>
                <w:caps w:val="0"/>
                <w:spacing w:val="0"/>
                <w:kern w:val="0"/>
                <w:sz w:val="20"/>
                <w:szCs w:val="20"/>
                <w:lang w:val="en-US" w:eastAsia="zh-CN" w:bidi="ar"/>
              </w:rPr>
              <w:t>伍家岗区沿江大道（五一广场旁）；</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□开 发 商：</w:t>
            </w:r>
            <w:r>
              <w:rPr>
                <w:rFonts w:hint="eastAsia" w:ascii="宋体" w:hAnsi="宋体" w:eastAsia="宋体" w:cs="宋体"/>
                <w:caps w:val="0"/>
                <w:spacing w:val="0"/>
                <w:kern w:val="0"/>
                <w:sz w:val="20"/>
                <w:szCs w:val="20"/>
                <w:lang w:val="en-US" w:eastAsia="zh-CN" w:bidi="ar"/>
              </w:rPr>
              <w:t>宜昌泰江置业有限公司；</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□开发规模：</w:t>
            </w:r>
            <w:r>
              <w:rPr>
                <w:rFonts w:hint="eastAsia" w:ascii="宋体" w:hAnsi="宋体" w:eastAsia="宋体" w:cs="宋体"/>
                <w:caps w:val="0"/>
                <w:spacing w:val="0"/>
                <w:kern w:val="0"/>
                <w:sz w:val="20"/>
                <w:szCs w:val="20"/>
                <w:lang w:val="en-US" w:eastAsia="zh-CN" w:bidi="ar"/>
              </w:rPr>
              <w:t>项目占地面672亩，总建面82.8万平米，规划总户数7000户，其中四期规划总建筑面积约9.8万㎡，容积率2.69，绿化率45%，规划总户数637户，停车位627个。</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□规划要点： </w:t>
            </w:r>
            <w:r>
              <w:rPr>
                <w:rFonts w:hint="eastAsia" w:ascii="宋体" w:hAnsi="宋体" w:eastAsia="宋体" w:cs="宋体"/>
                <w:caps w:val="0"/>
                <w:spacing w:val="0"/>
                <w:kern w:val="0"/>
                <w:sz w:val="20"/>
                <w:szCs w:val="20"/>
                <w:lang w:val="en-US" w:eastAsia="zh-CN" w:bidi="ar"/>
              </w:rPr>
              <w:t>由7栋高层建筑组成，建筑立面材料以米黄色仿石漆砖为主，配以米黄色仿石漆，褐色石材基座。</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鸟瞰图                                      区位图</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14"/>
                <w:szCs w:val="14"/>
                <w:lang w:val="en-US" w:eastAsia="zh-CN" w:bidi="ar"/>
              </w:rPr>
              <w:t>             </w:t>
            </w:r>
            <w:r>
              <w:rPr>
                <w:rFonts w:hint="eastAsia" w:ascii="宋体" w:hAnsi="宋体" w:eastAsia="宋体" w:cs="宋体"/>
                <w:b/>
                <w:caps w:val="0"/>
                <w:spacing w:val="0"/>
                <w:kern w:val="0"/>
                <w:sz w:val="14"/>
                <w:szCs w:val="14"/>
                <w:lang w:val="en-US" w:eastAsia="zh-CN" w:bidi="ar"/>
              </w:rPr>
              <w:drawing>
                <wp:inline distT="0" distB="0" distL="114300" distR="114300">
                  <wp:extent cx="2971800" cy="1733550"/>
                  <wp:effectExtent l="0" t="0" r="0" b="3810"/>
                  <wp:docPr id="12"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descr="IMG_268"/>
                          <pic:cNvPicPr>
                            <a:picLocks noChangeAspect="1"/>
                          </pic:cNvPicPr>
                        </pic:nvPicPr>
                        <pic:blipFill>
                          <a:blip r:embed="rId16"/>
                          <a:stretch>
                            <a:fillRect/>
                          </a:stretch>
                        </pic:blipFill>
                        <pic:spPr>
                          <a:xfrm>
                            <a:off x="0" y="0"/>
                            <a:ext cx="2971800" cy="1733550"/>
                          </a:xfrm>
                          <a:prstGeom prst="rect">
                            <a:avLst/>
                          </a:prstGeom>
                          <a:noFill/>
                          <a:ln w="9525">
                            <a:noFill/>
                          </a:ln>
                        </pic:spPr>
                      </pic:pic>
                    </a:graphicData>
                  </a:graphic>
                </wp:inline>
              </w:drawing>
            </w:r>
            <w:r>
              <w:rPr>
                <w:rFonts w:hint="eastAsia" w:ascii="宋体" w:hAnsi="宋体" w:eastAsia="宋体" w:cs="宋体"/>
                <w:b/>
                <w:caps w:val="0"/>
                <w:spacing w:val="0"/>
                <w:kern w:val="0"/>
                <w:sz w:val="14"/>
                <w:szCs w:val="14"/>
                <w:lang w:val="en-US" w:eastAsia="zh-CN" w:bidi="ar"/>
              </w:rPr>
              <w:t>   </w:t>
            </w:r>
            <w:r>
              <w:rPr>
                <w:rFonts w:hint="eastAsia" w:ascii="宋体" w:hAnsi="宋体" w:eastAsia="宋体" w:cs="宋体"/>
                <w:b/>
                <w:caps w:val="0"/>
                <w:spacing w:val="0"/>
                <w:kern w:val="0"/>
                <w:sz w:val="14"/>
                <w:szCs w:val="14"/>
                <w:lang w:val="en-US" w:eastAsia="zh-CN" w:bidi="ar"/>
              </w:rPr>
              <w:drawing>
                <wp:inline distT="0" distB="0" distL="114300" distR="114300">
                  <wp:extent cx="2105025" cy="1733550"/>
                  <wp:effectExtent l="0" t="0" r="13335" b="3810"/>
                  <wp:docPr id="6"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4" descr="IMG_269"/>
                          <pic:cNvPicPr>
                            <a:picLocks noChangeAspect="1"/>
                          </pic:cNvPicPr>
                        </pic:nvPicPr>
                        <pic:blipFill>
                          <a:blip r:embed="rId17"/>
                          <a:stretch>
                            <a:fillRect/>
                          </a:stretch>
                        </pic:blipFill>
                        <pic:spPr>
                          <a:xfrm>
                            <a:off x="0" y="0"/>
                            <a:ext cx="2105025" cy="17335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□主力户型</w:t>
            </w:r>
            <w:r>
              <w:rPr>
                <w:rFonts w:hint="eastAsia" w:ascii="宋体" w:hAnsi="宋体" w:eastAsia="宋体" w:cs="宋体"/>
                <w:caps w:val="0"/>
                <w:spacing w:val="0"/>
                <w:kern w:val="0"/>
                <w:sz w:val="20"/>
                <w:szCs w:val="20"/>
                <w:lang w:val="en-US" w:eastAsia="zh-CN" w:bidi="ar"/>
              </w:rPr>
              <w:t>：B  2×2×1    85㎡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C  3×2×2    110㎡</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B户型                                       C户型</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2647950" cy="2000250"/>
                  <wp:effectExtent l="0" t="0" r="3810" b="11430"/>
                  <wp:docPr id="16"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IMG_270"/>
                          <pic:cNvPicPr>
                            <a:picLocks noChangeAspect="1"/>
                          </pic:cNvPicPr>
                        </pic:nvPicPr>
                        <pic:blipFill>
                          <a:blip r:embed="rId18"/>
                          <a:stretch>
                            <a:fillRect/>
                          </a:stretch>
                        </pic:blipFill>
                        <pic:spPr>
                          <a:xfrm>
                            <a:off x="0" y="0"/>
                            <a:ext cx="2647950" cy="2000250"/>
                          </a:xfrm>
                          <a:prstGeom prst="rect">
                            <a:avLst/>
                          </a:prstGeom>
                          <a:noFill/>
                          <a:ln w="9525">
                            <a:noFill/>
                          </a:ln>
                        </pic:spPr>
                      </pic:pic>
                    </a:graphicData>
                  </a:graphic>
                </wp:inline>
              </w:drawing>
            </w:r>
            <w:r>
              <w:rPr>
                <w:rStyle w:val="7"/>
                <w:rFonts w:hint="eastAsia" w:ascii="宋体" w:hAnsi="宋体" w:eastAsia="宋体" w:cs="宋体"/>
                <w:caps w:val="0"/>
                <w:spacing w:val="0"/>
                <w:kern w:val="0"/>
                <w:sz w:val="14"/>
                <w:szCs w:val="14"/>
                <w:lang w:val="en-US" w:eastAsia="zh-CN" w:bidi="ar"/>
              </w:rPr>
              <w:t>   </w:t>
            </w:r>
            <w:r>
              <w:rPr>
                <w:rStyle w:val="7"/>
                <w:rFonts w:hint="eastAsia" w:ascii="宋体" w:hAnsi="宋体" w:eastAsia="宋体" w:cs="宋体"/>
                <w:caps w:val="0"/>
                <w:spacing w:val="0"/>
                <w:kern w:val="0"/>
                <w:sz w:val="14"/>
                <w:szCs w:val="14"/>
                <w:lang w:val="en-US" w:eastAsia="zh-CN" w:bidi="ar"/>
              </w:rPr>
              <w:drawing>
                <wp:inline distT="0" distB="0" distL="114300" distR="114300">
                  <wp:extent cx="2638425" cy="2000250"/>
                  <wp:effectExtent l="0" t="0" r="13335" b="11430"/>
                  <wp:docPr id="3"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IMG_271"/>
                          <pic:cNvPicPr>
                            <a:picLocks noChangeAspect="1"/>
                          </pic:cNvPicPr>
                        </pic:nvPicPr>
                        <pic:blipFill>
                          <a:blip r:embed="rId19"/>
                          <a:stretch>
                            <a:fillRect/>
                          </a:stretch>
                        </pic:blipFill>
                        <pic:spPr>
                          <a:xfrm>
                            <a:off x="0" y="0"/>
                            <a:ext cx="2638425" cy="20002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□户型点评：</w:t>
            </w:r>
            <w:r>
              <w:rPr>
                <w:rFonts w:hint="eastAsia" w:ascii="宋体" w:hAnsi="宋体" w:eastAsia="宋体" w:cs="宋体"/>
                <w:caps w:val="0"/>
                <w:spacing w:val="0"/>
                <w:kern w:val="0"/>
                <w:sz w:val="20"/>
                <w:szCs w:val="20"/>
                <w:lang w:val="en-US" w:eastAsia="zh-CN" w:bidi="ar"/>
              </w:rPr>
              <w:t>四期7号楼85-111㎡房源共计96套，</w:t>
            </w:r>
            <w:r>
              <w:rPr>
                <w:rFonts w:hint="eastAsia" w:ascii="宋体" w:hAnsi="宋体" w:eastAsia="宋体" w:cs="宋体"/>
                <w:b/>
                <w:caps w:val="0"/>
                <w:spacing w:val="0"/>
                <w:kern w:val="0"/>
                <w:sz w:val="20"/>
                <w:szCs w:val="20"/>
                <w:lang w:val="en-US" w:eastAsia="zh-CN" w:bidi="ar"/>
              </w:rPr>
              <w:t>其中以110㎡三房为主，共计64套，占比为67%，</w:t>
            </w:r>
            <w:r>
              <w:rPr>
                <w:rFonts w:hint="eastAsia" w:ascii="宋体" w:hAnsi="宋体" w:eastAsia="宋体" w:cs="宋体"/>
                <w:caps w:val="0"/>
                <w:spacing w:val="0"/>
                <w:kern w:val="0"/>
                <w:sz w:val="20"/>
                <w:szCs w:val="20"/>
                <w:lang w:val="en-US" w:eastAsia="zh-CN" w:bidi="ar"/>
              </w:rPr>
              <w:t>而85㎡户型共计32套，占比为33%。</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□项目动态：</w:t>
            </w:r>
            <w:r>
              <w:rPr>
                <w:rFonts w:hint="eastAsia" w:ascii="宋体" w:hAnsi="宋体" w:eastAsia="宋体" w:cs="宋体"/>
                <w:caps w:val="0"/>
                <w:spacing w:val="0"/>
                <w:kern w:val="0"/>
                <w:sz w:val="20"/>
                <w:szCs w:val="20"/>
                <w:lang w:val="en-US" w:eastAsia="zh-CN" w:bidi="ar"/>
              </w:rPr>
              <w:t> 3月15日加推，本次推盘房源96套，本次推盘均价8300元/㎡，目前已备案3套。</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□项目点评：</w:t>
            </w:r>
            <w:r>
              <w:rPr>
                <w:rFonts w:hint="eastAsia" w:ascii="宋体" w:hAnsi="宋体" w:eastAsia="宋体" w:cs="宋体"/>
                <w:caps w:val="0"/>
                <w:spacing w:val="0"/>
                <w:kern w:val="0"/>
                <w:sz w:val="20"/>
                <w:szCs w:val="20"/>
                <w:lang w:val="en-US" w:eastAsia="zh-CN" w:bidi="ar"/>
              </w:rPr>
              <w:t>该项目位于伍家岗区五一商圈地段，是宜昌典型的江景大盘，拥有完善的生活配套和便捷的交通。</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□加推盘现场：</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2638425" cy="1600200"/>
                  <wp:effectExtent l="0" t="0" r="13335" b="0"/>
                  <wp:docPr id="19"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descr="IMG_272"/>
                          <pic:cNvPicPr>
                            <a:picLocks noChangeAspect="1"/>
                          </pic:cNvPicPr>
                        </pic:nvPicPr>
                        <pic:blipFill>
                          <a:blip r:embed="rId20"/>
                          <a:stretch>
                            <a:fillRect/>
                          </a:stretch>
                        </pic:blipFill>
                        <pic:spPr>
                          <a:xfrm>
                            <a:off x="0" y="0"/>
                            <a:ext cx="2638425" cy="1600200"/>
                          </a:xfrm>
                          <a:prstGeom prst="rect">
                            <a:avLst/>
                          </a:prstGeom>
                          <a:noFill/>
                          <a:ln w="9525">
                            <a:noFill/>
                          </a:ln>
                        </pic:spPr>
                      </pic:pic>
                    </a:graphicData>
                  </a:graphic>
                </wp:inline>
              </w:drawing>
            </w:r>
            <w:r>
              <w:rPr>
                <w:rStyle w:val="7"/>
                <w:rFonts w:hint="eastAsia" w:ascii="宋体" w:hAnsi="宋体" w:eastAsia="宋体" w:cs="宋体"/>
                <w:caps w:val="0"/>
                <w:spacing w:val="0"/>
                <w:kern w:val="0"/>
                <w:sz w:val="20"/>
                <w:szCs w:val="20"/>
                <w:lang w:val="en-US" w:eastAsia="zh-CN" w:bidi="ar"/>
              </w:rPr>
              <w:drawing>
                <wp:inline distT="0" distB="0" distL="114300" distR="114300">
                  <wp:extent cx="3067050" cy="1600200"/>
                  <wp:effectExtent l="0" t="0" r="11430" b="0"/>
                  <wp:docPr id="44"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8" descr="IMG_273"/>
                          <pic:cNvPicPr>
                            <a:picLocks noChangeAspect="1"/>
                          </pic:cNvPicPr>
                        </pic:nvPicPr>
                        <pic:blipFill>
                          <a:blip r:embed="rId21"/>
                          <a:stretch>
                            <a:fillRect/>
                          </a:stretch>
                        </pic:blipFill>
                        <pic:spPr>
                          <a:xfrm>
                            <a:off x="0" y="0"/>
                            <a:ext cx="3067050" cy="1600200"/>
                          </a:xfrm>
                          <a:prstGeom prst="rect">
                            <a:avLst/>
                          </a:prstGeom>
                          <a:noFill/>
                          <a:ln w="9525">
                            <a:noFill/>
                          </a:ln>
                        </pic:spPr>
                      </pic:pic>
                    </a:graphicData>
                  </a:graphic>
                </wp:inline>
              </w:drawing>
            </w:r>
          </w:p>
          <w:p>
            <w:pPr>
              <w:pStyle w:val="3"/>
              <w:keepNext w:val="0"/>
              <w:keepLines w:val="0"/>
              <w:widowControl/>
              <w:suppressLineNumbers w:val="0"/>
              <w:spacing w:line="24" w:lineRule="atLeast"/>
              <w:jc w:val="left"/>
            </w:pPr>
            <w:r>
              <w:rPr>
                <w:rFonts w:hint="eastAsia" w:ascii="宋体" w:hAnsi="宋体" w:eastAsia="宋体" w:cs="宋体"/>
                <w:caps w:val="0"/>
                <w:spacing w:val="0"/>
                <w:sz w:val="20"/>
                <w:szCs w:val="20"/>
              </w:rPr>
              <w:t>  三、开发区</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区内主要楼盘动态</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5334000" cy="3705225"/>
                  <wp:effectExtent l="0" t="0" r="0" b="13335"/>
                  <wp:docPr id="30"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9" descr="IMG_274"/>
                          <pic:cNvPicPr>
                            <a:picLocks noChangeAspect="1"/>
                          </pic:cNvPicPr>
                        </pic:nvPicPr>
                        <pic:blipFill>
                          <a:blip r:embed="rId22"/>
                          <a:stretch>
                            <a:fillRect/>
                          </a:stretch>
                        </pic:blipFill>
                        <pic:spPr>
                          <a:xfrm>
                            <a:off x="0" y="0"/>
                            <a:ext cx="5334000" cy="370522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2647950" cy="1466850"/>
                  <wp:effectExtent l="0" t="0" r="3810" b="11430"/>
                  <wp:docPr id="41"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0" descr="IMG_275"/>
                          <pic:cNvPicPr>
                            <a:picLocks noChangeAspect="1"/>
                          </pic:cNvPicPr>
                        </pic:nvPicPr>
                        <pic:blipFill>
                          <a:blip r:embed="rId23"/>
                          <a:stretch>
                            <a:fillRect/>
                          </a:stretch>
                        </pic:blipFill>
                        <pic:spPr>
                          <a:xfrm>
                            <a:off x="0" y="0"/>
                            <a:ext cx="2647950" cy="1466850"/>
                          </a:xfrm>
                          <a:prstGeom prst="rect">
                            <a:avLst/>
                          </a:prstGeom>
                          <a:noFill/>
                          <a:ln w="9525">
                            <a:noFill/>
                          </a:ln>
                        </pic:spPr>
                      </pic:pic>
                    </a:graphicData>
                  </a:graphic>
                </wp:inline>
              </w:drawing>
            </w: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2590800" cy="1466850"/>
                  <wp:effectExtent l="0" t="0" r="0" b="11430"/>
                  <wp:docPr id="43"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1" descr="IMG_276"/>
                          <pic:cNvPicPr>
                            <a:picLocks noChangeAspect="1"/>
                          </pic:cNvPicPr>
                        </pic:nvPicPr>
                        <pic:blipFill>
                          <a:blip r:embed="rId24"/>
                          <a:stretch>
                            <a:fillRect/>
                          </a:stretch>
                        </pic:blipFill>
                        <pic:spPr>
                          <a:xfrm>
                            <a:off x="0" y="0"/>
                            <a:ext cx="2590800" cy="1466850"/>
                          </a:xfrm>
                          <a:prstGeom prst="rect">
                            <a:avLst/>
                          </a:prstGeom>
                          <a:noFill/>
                          <a:ln w="9525">
                            <a:noFill/>
                          </a:ln>
                        </pic:spPr>
                      </pic:pic>
                    </a:graphicData>
                  </a:graphic>
                </wp:inline>
              </w:drawing>
            </w:r>
          </w:p>
          <w:p>
            <w:pPr>
              <w:pStyle w:val="3"/>
              <w:keepNext w:val="0"/>
              <w:keepLines w:val="0"/>
              <w:widowControl/>
              <w:suppressLineNumbers w:val="0"/>
              <w:spacing w:line="24" w:lineRule="atLeast"/>
              <w:jc w:val="left"/>
            </w:pPr>
            <w:r>
              <w:rPr>
                <w:rFonts w:hint="eastAsia" w:ascii="宋体" w:hAnsi="宋体" w:eastAsia="宋体" w:cs="宋体"/>
                <w:caps w:val="0"/>
                <w:spacing w:val="0"/>
                <w:sz w:val="20"/>
                <w:szCs w:val="20"/>
              </w:rPr>
              <w:t>  四、夷陵区</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1、区内主要楼盘动态</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drawing>
                <wp:inline distT="0" distB="0" distL="114300" distR="114300">
                  <wp:extent cx="4667250" cy="4800600"/>
                  <wp:effectExtent l="0" t="0" r="11430" b="0"/>
                  <wp:docPr id="40"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2" descr="IMG_277"/>
                          <pic:cNvPicPr>
                            <a:picLocks noChangeAspect="1"/>
                          </pic:cNvPicPr>
                        </pic:nvPicPr>
                        <pic:blipFill>
                          <a:blip r:embed="rId25"/>
                          <a:stretch>
                            <a:fillRect/>
                          </a:stretch>
                        </pic:blipFill>
                        <pic:spPr>
                          <a:xfrm>
                            <a:off x="0" y="0"/>
                            <a:ext cx="4667250" cy="48006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2、区内重点项目调查</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项目名称：平湖天下</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□地理位置：</w:t>
            </w:r>
            <w:r>
              <w:rPr>
                <w:rFonts w:hint="eastAsia" w:ascii="宋体" w:hAnsi="宋体" w:eastAsia="宋体" w:cs="宋体"/>
                <w:caps w:val="0"/>
                <w:spacing w:val="0"/>
                <w:kern w:val="0"/>
                <w:sz w:val="20"/>
                <w:szCs w:val="20"/>
                <w:lang w:val="en-US" w:eastAsia="zh-CN" w:bidi="ar"/>
              </w:rPr>
              <w:t>夷陵区三峡路；</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□开 发 商：</w:t>
            </w:r>
            <w:r>
              <w:rPr>
                <w:rFonts w:hint="eastAsia" w:ascii="宋体" w:hAnsi="宋体" w:eastAsia="宋体" w:cs="宋体"/>
                <w:caps w:val="0"/>
                <w:spacing w:val="0"/>
                <w:kern w:val="0"/>
                <w:sz w:val="20"/>
                <w:szCs w:val="20"/>
                <w:lang w:val="en-US" w:eastAsia="zh-CN" w:bidi="ar"/>
              </w:rPr>
              <w:t>宜昌恒裕房地产开发有限公司；</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□开发规模：</w:t>
            </w:r>
            <w:r>
              <w:rPr>
                <w:rFonts w:hint="eastAsia" w:ascii="宋体" w:hAnsi="宋体" w:eastAsia="宋体" w:cs="宋体"/>
                <w:caps w:val="0"/>
                <w:spacing w:val="0"/>
                <w:kern w:val="0"/>
                <w:sz w:val="20"/>
                <w:szCs w:val="20"/>
                <w:lang w:val="en-US" w:eastAsia="zh-CN" w:bidi="ar"/>
              </w:rPr>
              <w:t>项目4期总占地面积51580平米，总建筑面积25.6万平米，容积率3.5，绿化率22%，规划总户数969  户，规划停车位1551个。</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□规划要点：</w:t>
            </w:r>
            <w:r>
              <w:rPr>
                <w:rFonts w:hint="eastAsia" w:ascii="宋体" w:hAnsi="宋体" w:eastAsia="宋体" w:cs="宋体"/>
                <w:caps w:val="0"/>
                <w:spacing w:val="0"/>
                <w:kern w:val="0"/>
                <w:sz w:val="20"/>
                <w:szCs w:val="20"/>
                <w:lang w:val="en-US" w:eastAsia="zh-CN" w:bidi="ar"/>
              </w:rPr>
              <w:t>由A、B、C三个区组成，其中   A区由2栋高层单身公寓组成，B、C区由4栋21-30层高层建筑组成。</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□主力户型：    </w:t>
            </w:r>
            <w:r>
              <w:rPr>
                <w:rFonts w:hint="eastAsia" w:ascii="宋体" w:hAnsi="宋体" w:eastAsia="宋体" w:cs="宋体"/>
                <w:caps w:val="0"/>
                <w:spacing w:val="0"/>
                <w:kern w:val="0"/>
                <w:sz w:val="20"/>
                <w:szCs w:val="20"/>
                <w:lang w:val="en-US" w:eastAsia="zh-CN" w:bidi="ar"/>
              </w:rPr>
              <w:t>A户型   3×2×2  121.34㎡      B户型   2×2×1  89.34㎡</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C户型   3×2×2  133.80㎡</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A户型                        B户型                        C户型</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1609725" cy="1600200"/>
                  <wp:effectExtent l="0" t="0" r="5715" b="0"/>
                  <wp:docPr id="26"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3" descr="IMG_278"/>
                          <pic:cNvPicPr>
                            <a:picLocks noChangeAspect="1"/>
                          </pic:cNvPicPr>
                        </pic:nvPicPr>
                        <pic:blipFill>
                          <a:blip r:embed="rId26"/>
                          <a:stretch>
                            <a:fillRect/>
                          </a:stretch>
                        </pic:blipFill>
                        <pic:spPr>
                          <a:xfrm>
                            <a:off x="0" y="0"/>
                            <a:ext cx="1609725" cy="1600200"/>
                          </a:xfrm>
                          <a:prstGeom prst="rect">
                            <a:avLst/>
                          </a:prstGeom>
                          <a:noFill/>
                          <a:ln w="9525">
                            <a:noFill/>
                          </a:ln>
                        </pic:spPr>
                      </pic:pic>
                    </a:graphicData>
                  </a:graphic>
                </wp:inline>
              </w:drawing>
            </w: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1685925" cy="1600200"/>
                  <wp:effectExtent l="0" t="0" r="5715" b="0"/>
                  <wp:docPr id="31"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4" descr="IMG_279"/>
                          <pic:cNvPicPr>
                            <a:picLocks noChangeAspect="1"/>
                          </pic:cNvPicPr>
                        </pic:nvPicPr>
                        <pic:blipFill>
                          <a:blip r:embed="rId27"/>
                          <a:stretch>
                            <a:fillRect/>
                          </a:stretch>
                        </pic:blipFill>
                        <pic:spPr>
                          <a:xfrm>
                            <a:off x="0" y="0"/>
                            <a:ext cx="1685925" cy="1600200"/>
                          </a:xfrm>
                          <a:prstGeom prst="rect">
                            <a:avLst/>
                          </a:prstGeom>
                          <a:noFill/>
                          <a:ln w="9525">
                            <a:noFill/>
                          </a:ln>
                        </pic:spPr>
                      </pic:pic>
                    </a:graphicData>
                  </a:graphic>
                </wp:inline>
              </w:drawing>
            </w: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1619250" cy="1600200"/>
                  <wp:effectExtent l="0" t="0" r="11430" b="0"/>
                  <wp:docPr id="22"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5" descr="IMG_280"/>
                          <pic:cNvPicPr>
                            <a:picLocks noChangeAspect="1"/>
                          </pic:cNvPicPr>
                        </pic:nvPicPr>
                        <pic:blipFill>
                          <a:blip r:embed="rId28"/>
                          <a:stretch>
                            <a:fillRect/>
                          </a:stretch>
                        </pic:blipFill>
                        <pic:spPr>
                          <a:xfrm>
                            <a:off x="0" y="0"/>
                            <a:ext cx="1619250" cy="16002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□户型点评：四期89-133㎡户型共计408套，其中以89㎡户型为主</w:t>
            </w:r>
            <w:r>
              <w:rPr>
                <w:rFonts w:hint="eastAsia" w:ascii="宋体" w:hAnsi="宋体" w:eastAsia="宋体" w:cs="宋体"/>
                <w:caps w:val="0"/>
                <w:spacing w:val="0"/>
                <w:kern w:val="0"/>
                <w:sz w:val="20"/>
                <w:szCs w:val="20"/>
                <w:lang w:val="en-US" w:eastAsia="zh-CN" w:bidi="ar"/>
              </w:rPr>
              <w:t>，共计204套，占比50%，121㎡户型共计120套，占比29%，133㎡户型共计84套，占比21%。</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□项目动态：</w:t>
            </w:r>
            <w:r>
              <w:rPr>
                <w:rFonts w:hint="eastAsia" w:ascii="宋体" w:hAnsi="宋体" w:eastAsia="宋体" w:cs="宋体"/>
                <w:caps w:val="0"/>
                <w:spacing w:val="0"/>
                <w:kern w:val="0"/>
                <w:sz w:val="20"/>
                <w:szCs w:val="20"/>
                <w:lang w:val="en-US" w:eastAsia="zh-CN" w:bidi="ar"/>
              </w:rPr>
              <w:t>四期7、8#楼为团购房，3-6#楼预计5月份开盘，开盘均价预估5000元/㎡。</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□项目点评：</w:t>
            </w:r>
            <w:r>
              <w:rPr>
                <w:rFonts w:hint="eastAsia" w:ascii="宋体" w:hAnsi="宋体" w:eastAsia="宋体" w:cs="宋体"/>
                <w:caps w:val="0"/>
                <w:spacing w:val="0"/>
                <w:kern w:val="0"/>
                <w:sz w:val="20"/>
                <w:szCs w:val="20"/>
                <w:lang w:val="en-US" w:eastAsia="zh-CN" w:bidi="ar"/>
              </w:rPr>
              <w:t>项目位于夷陵区三峡茶城与长江市场之间，多条公交线路和主要交通要道环绕项目，是休闲、商业、居住融为一体的社区。</w:t>
            </w:r>
          </w:p>
          <w:p>
            <w:pPr>
              <w:pStyle w:val="3"/>
              <w:keepNext w:val="0"/>
              <w:keepLines w:val="0"/>
              <w:widowControl/>
              <w:suppressLineNumbers w:val="0"/>
              <w:spacing w:line="24" w:lineRule="atLeast"/>
              <w:jc w:val="left"/>
            </w:pPr>
            <w:r>
              <w:rPr>
                <w:rFonts w:hint="eastAsia" w:ascii="宋体" w:hAnsi="宋体" w:eastAsia="宋体" w:cs="宋体"/>
                <w:caps w:val="0"/>
                <w:spacing w:val="0"/>
                <w:sz w:val="20"/>
                <w:szCs w:val="20"/>
              </w:rPr>
              <w:t>    五、点军区</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bookmarkStart w:id="35" w:name="_Toc384797315"/>
            <w:r>
              <w:rPr>
                <w:rFonts w:hint="eastAsia" w:ascii="宋体" w:hAnsi="宋体" w:eastAsia="宋体" w:cs="宋体"/>
                <w:b/>
                <w:caps w:val="0"/>
                <w:spacing w:val="0"/>
                <w:kern w:val="0"/>
                <w:sz w:val="20"/>
                <w:szCs w:val="20"/>
                <w:lang w:val="en-US" w:eastAsia="zh-CN" w:bidi="ar"/>
              </w:rPr>
              <w:t>区内主要在售楼盘动态：</w:t>
            </w:r>
            <w:bookmarkEnd w:id="35"/>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14"/>
                <w:szCs w:val="14"/>
                <w:lang w:val="en-US" w:eastAsia="zh-CN" w:bidi="ar"/>
              </w:rPr>
              <w:t>        </w:t>
            </w:r>
            <w:r>
              <w:rPr>
                <w:rFonts w:hint="eastAsia" w:ascii="宋体" w:hAnsi="宋体" w:eastAsia="宋体" w:cs="宋体"/>
                <w:b/>
                <w:caps w:val="0"/>
                <w:spacing w:val="0"/>
                <w:kern w:val="0"/>
                <w:sz w:val="14"/>
                <w:szCs w:val="14"/>
                <w:lang w:val="en-US" w:eastAsia="zh-CN" w:bidi="ar"/>
              </w:rPr>
              <w:drawing>
                <wp:inline distT="0" distB="0" distL="114300" distR="114300">
                  <wp:extent cx="5334000" cy="3971925"/>
                  <wp:effectExtent l="0" t="0" r="0" b="5715"/>
                  <wp:docPr id="39"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6" descr="IMG_281"/>
                          <pic:cNvPicPr>
                            <a:picLocks noChangeAspect="1"/>
                          </pic:cNvPicPr>
                        </pic:nvPicPr>
                        <pic:blipFill>
                          <a:blip r:embed="rId29"/>
                          <a:stretch>
                            <a:fillRect/>
                          </a:stretch>
                        </pic:blipFill>
                        <pic:spPr>
                          <a:xfrm>
                            <a:off x="0" y="0"/>
                            <a:ext cx="5334000" cy="397192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3200400" cy="2133600"/>
                  <wp:effectExtent l="0" t="0" r="0" b="0"/>
                  <wp:docPr id="42"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7" descr="IMG_282"/>
                          <pic:cNvPicPr>
                            <a:picLocks noChangeAspect="1"/>
                          </pic:cNvPicPr>
                        </pic:nvPicPr>
                        <pic:blipFill>
                          <a:blip r:embed="rId30"/>
                          <a:stretch>
                            <a:fillRect/>
                          </a:stretch>
                        </pic:blipFill>
                        <pic:spPr>
                          <a:xfrm>
                            <a:off x="0" y="0"/>
                            <a:ext cx="3200400" cy="2133600"/>
                          </a:xfrm>
                          <a:prstGeom prst="rect">
                            <a:avLst/>
                          </a:prstGeom>
                          <a:noFill/>
                          <a:ln w="9525">
                            <a:noFill/>
                          </a:ln>
                        </pic:spPr>
                      </pic:pic>
                    </a:graphicData>
                  </a:graphic>
                </wp:inline>
              </w:drawing>
            </w: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2038350" cy="2133600"/>
                  <wp:effectExtent l="0" t="0" r="3810" b="0"/>
                  <wp:docPr id="36"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8" descr="IMG_283"/>
                          <pic:cNvPicPr>
                            <a:picLocks noChangeAspect="1"/>
                          </pic:cNvPicPr>
                        </pic:nvPicPr>
                        <pic:blipFill>
                          <a:blip r:embed="rId31"/>
                          <a:stretch>
                            <a:fillRect/>
                          </a:stretch>
                        </pic:blipFill>
                        <pic:spPr>
                          <a:xfrm>
                            <a:off x="0" y="0"/>
                            <a:ext cx="2038350" cy="21336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Style w:val="7"/>
                <w:rFonts w:hint="eastAsia" w:ascii="宋体" w:hAnsi="宋体" w:eastAsia="宋体" w:cs="宋体"/>
                <w:caps w:val="0"/>
                <w:spacing w:val="0"/>
                <w:kern w:val="0"/>
                <w:sz w:val="14"/>
                <w:szCs w:val="14"/>
                <w:lang w:val="en-US" w:eastAsia="zh-CN" w:bidi="ar"/>
              </w:rPr>
              <w:t>      </w:t>
            </w:r>
          </w:p>
          <w:p>
            <w:pPr>
              <w:pStyle w:val="3"/>
              <w:keepNext w:val="0"/>
              <w:keepLines w:val="0"/>
              <w:widowControl/>
              <w:suppressLineNumbers w:val="0"/>
              <w:spacing w:line="24" w:lineRule="atLeast"/>
              <w:jc w:val="left"/>
            </w:pPr>
            <w:r>
              <w:rPr>
                <w:rFonts w:hint="eastAsia" w:ascii="宋体" w:hAnsi="宋体" w:eastAsia="宋体" w:cs="宋体"/>
                <w:caps w:val="0"/>
                <w:spacing w:val="0"/>
                <w:sz w:val="20"/>
                <w:szCs w:val="20"/>
              </w:rPr>
              <w:t>   六、猇亭区</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区内主要在售楼盘动态：</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Style w:val="7"/>
                <w:rFonts w:hint="eastAsia" w:ascii="宋体" w:hAnsi="宋体" w:eastAsia="宋体" w:cs="宋体"/>
                <w:caps w:val="0"/>
                <w:spacing w:val="0"/>
                <w:kern w:val="0"/>
                <w:sz w:val="14"/>
                <w:szCs w:val="14"/>
                <w:lang w:val="en-US" w:eastAsia="zh-CN" w:bidi="ar"/>
              </w:rPr>
              <w:t>        </w:t>
            </w:r>
            <w:r>
              <w:rPr>
                <w:rStyle w:val="7"/>
                <w:rFonts w:hint="eastAsia" w:ascii="宋体" w:hAnsi="宋体" w:eastAsia="宋体" w:cs="宋体"/>
                <w:caps w:val="0"/>
                <w:spacing w:val="0"/>
                <w:kern w:val="0"/>
                <w:sz w:val="14"/>
                <w:szCs w:val="14"/>
                <w:lang w:val="en-US" w:eastAsia="zh-CN" w:bidi="ar"/>
              </w:rPr>
              <w:drawing>
                <wp:inline distT="0" distB="0" distL="114300" distR="114300">
                  <wp:extent cx="5334000" cy="3295650"/>
                  <wp:effectExtent l="0" t="0" r="0" b="11430"/>
                  <wp:docPr id="29"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84"/>
                          <pic:cNvPicPr>
                            <a:picLocks noChangeAspect="1"/>
                          </pic:cNvPicPr>
                        </pic:nvPicPr>
                        <pic:blipFill>
                          <a:blip r:embed="rId32"/>
                          <a:stretch>
                            <a:fillRect/>
                          </a:stretch>
                        </pic:blipFill>
                        <pic:spPr>
                          <a:xfrm>
                            <a:off x="0" y="0"/>
                            <a:ext cx="5334000" cy="32956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Style w:val="7"/>
                <w:rFonts w:hint="eastAsia" w:ascii="宋体" w:hAnsi="宋体" w:eastAsia="宋体" w:cs="宋体"/>
                <w:caps w:val="0"/>
                <w:spacing w:val="0"/>
                <w:kern w:val="0"/>
                <w:sz w:val="14"/>
                <w:szCs w:val="14"/>
                <w:lang w:val="en-US" w:eastAsia="zh-CN" w:bidi="ar"/>
              </w:rPr>
              <w:t>           </w:t>
            </w:r>
            <w:r>
              <w:rPr>
                <w:rStyle w:val="7"/>
                <w:rFonts w:hint="eastAsia" w:ascii="宋体" w:hAnsi="宋体" w:eastAsia="宋体" w:cs="宋体"/>
                <w:caps w:val="0"/>
                <w:spacing w:val="0"/>
                <w:kern w:val="0"/>
                <w:sz w:val="14"/>
                <w:szCs w:val="14"/>
                <w:lang w:val="en-US" w:eastAsia="zh-CN" w:bidi="ar"/>
              </w:rPr>
              <w:drawing>
                <wp:inline distT="0" distB="0" distL="114300" distR="114300">
                  <wp:extent cx="2466975" cy="1600200"/>
                  <wp:effectExtent l="0" t="0" r="1905" b="0"/>
                  <wp:docPr id="27"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0" descr="IMG_285"/>
                          <pic:cNvPicPr>
                            <a:picLocks noChangeAspect="1"/>
                          </pic:cNvPicPr>
                        </pic:nvPicPr>
                        <pic:blipFill>
                          <a:blip r:embed="rId33"/>
                          <a:stretch>
                            <a:fillRect/>
                          </a:stretch>
                        </pic:blipFill>
                        <pic:spPr>
                          <a:xfrm>
                            <a:off x="0" y="0"/>
                            <a:ext cx="2466975" cy="1600200"/>
                          </a:xfrm>
                          <a:prstGeom prst="rect">
                            <a:avLst/>
                          </a:prstGeom>
                          <a:noFill/>
                          <a:ln w="9525">
                            <a:noFill/>
                          </a:ln>
                        </pic:spPr>
                      </pic:pic>
                    </a:graphicData>
                  </a:graphic>
                </wp:inline>
              </w:drawing>
            </w:r>
            <w:r>
              <w:rPr>
                <w:rStyle w:val="7"/>
                <w:rFonts w:hint="eastAsia" w:ascii="宋体" w:hAnsi="宋体" w:eastAsia="宋体" w:cs="宋体"/>
                <w:caps w:val="0"/>
                <w:spacing w:val="0"/>
                <w:kern w:val="0"/>
                <w:sz w:val="14"/>
                <w:szCs w:val="14"/>
                <w:lang w:val="en-US" w:eastAsia="zh-CN" w:bidi="ar"/>
              </w:rPr>
              <w:t>  </w:t>
            </w:r>
            <w:r>
              <w:rPr>
                <w:rStyle w:val="7"/>
                <w:rFonts w:hint="eastAsia" w:ascii="宋体" w:hAnsi="宋体" w:eastAsia="宋体" w:cs="宋体"/>
                <w:caps w:val="0"/>
                <w:spacing w:val="0"/>
                <w:kern w:val="0"/>
                <w:sz w:val="14"/>
                <w:szCs w:val="14"/>
                <w:lang w:val="en-US" w:eastAsia="zh-CN" w:bidi="ar"/>
              </w:rPr>
              <w:drawing>
                <wp:inline distT="0" distB="0" distL="114300" distR="114300">
                  <wp:extent cx="2590800" cy="1600200"/>
                  <wp:effectExtent l="0" t="0" r="0" b="0"/>
                  <wp:docPr id="17"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1" descr="IMG_286"/>
                          <pic:cNvPicPr>
                            <a:picLocks noChangeAspect="1"/>
                          </pic:cNvPicPr>
                        </pic:nvPicPr>
                        <pic:blipFill>
                          <a:blip r:embed="rId34"/>
                          <a:stretch>
                            <a:fillRect/>
                          </a:stretch>
                        </pic:blipFill>
                        <pic:spPr>
                          <a:xfrm>
                            <a:off x="0" y="0"/>
                            <a:ext cx="2590800" cy="1600200"/>
                          </a:xfrm>
                          <a:prstGeom prst="rect">
                            <a:avLst/>
                          </a:prstGeom>
                          <a:noFill/>
                          <a:ln w="9525">
                            <a:noFill/>
                          </a:ln>
                        </pic:spPr>
                      </pic:pic>
                    </a:graphicData>
                  </a:graphic>
                </wp:inline>
              </w:drawing>
            </w:r>
          </w:p>
          <w:p>
            <w:pPr>
              <w:pStyle w:val="2"/>
              <w:keepNext w:val="0"/>
              <w:keepLines w:val="0"/>
              <w:widowControl/>
              <w:suppressLineNumbers w:val="0"/>
              <w:spacing w:line="24" w:lineRule="atLeast"/>
              <w:jc w:val="center"/>
            </w:pPr>
            <w:r>
              <w:rPr>
                <w:rFonts w:hint="eastAsia" w:ascii="宋体" w:hAnsi="宋体" w:eastAsia="宋体" w:cs="宋体"/>
                <w:caps w:val="0"/>
                <w:spacing w:val="0"/>
                <w:sz w:val="27"/>
                <w:szCs w:val="27"/>
              </w:rPr>
              <w:t>第四部分   媒体监测</w:t>
            </w:r>
          </w:p>
          <w:p>
            <w:pPr>
              <w:pStyle w:val="3"/>
              <w:keepNext w:val="0"/>
              <w:keepLines w:val="0"/>
              <w:widowControl/>
              <w:suppressLineNumbers w:val="0"/>
              <w:spacing w:line="24" w:lineRule="atLeast"/>
              <w:jc w:val="left"/>
            </w:pPr>
            <w:bookmarkStart w:id="36" w:name="_Toc398024665"/>
            <w:bookmarkEnd w:id="36"/>
            <w:bookmarkStart w:id="37" w:name="_Toc380050048"/>
            <w:bookmarkEnd w:id="37"/>
            <w:bookmarkStart w:id="38" w:name="_Toc353178142"/>
            <w:bookmarkEnd w:id="38"/>
            <w:bookmarkStart w:id="39" w:name="_Toc347757555"/>
            <w:bookmarkEnd w:id="39"/>
            <w:r>
              <w:rPr>
                <w:caps w:val="0"/>
                <w:spacing w:val="0"/>
              </w:rPr>
              <w:t>   </w:t>
            </w:r>
            <w:bookmarkStart w:id="40" w:name="_Toc345167239"/>
            <w:r>
              <w:rPr>
                <w:rFonts w:hint="eastAsia" w:ascii="宋体" w:hAnsi="宋体" w:eastAsia="宋体" w:cs="宋体"/>
                <w:caps w:val="0"/>
                <w:spacing w:val="0"/>
                <w:sz w:val="20"/>
                <w:szCs w:val="20"/>
              </w:rPr>
              <w:t>一、纸媒投放情况</w:t>
            </w:r>
            <w:bookmarkEnd w:id="40"/>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本月截止到31日，共有14个地产项目投放报纸广告，环比2月份减少9个，本月纸媒投放数量共计36篇，环比减少13篇。本月广告投放量较大的主要有鑫鼎汽配机电城、恒大绿洲、恒大帝景、易家居等楼盘。</w:t>
            </w:r>
          </w:p>
          <w:p>
            <w:pPr>
              <w:pStyle w:val="3"/>
              <w:keepNext w:val="0"/>
              <w:keepLines w:val="0"/>
              <w:widowControl/>
              <w:suppressLineNumbers w:val="0"/>
              <w:spacing w:line="24" w:lineRule="atLeast"/>
              <w:jc w:val="left"/>
            </w:pPr>
            <w:bookmarkStart w:id="41" w:name="_Toc398024666"/>
            <w:bookmarkEnd w:id="41"/>
            <w:bookmarkStart w:id="42" w:name="_Toc380050049"/>
            <w:bookmarkEnd w:id="42"/>
            <w:bookmarkStart w:id="43" w:name="_Toc353178143"/>
            <w:bookmarkEnd w:id="43"/>
            <w:bookmarkStart w:id="44" w:name="_Toc347757556"/>
            <w:bookmarkEnd w:id="44"/>
            <w:r>
              <w:rPr>
                <w:rFonts w:hint="eastAsia" w:ascii="宋体" w:hAnsi="宋体" w:eastAsia="宋体" w:cs="宋体"/>
                <w:caps w:val="0"/>
                <w:spacing w:val="0"/>
              </w:rPr>
              <w:t>   </w:t>
            </w:r>
            <w:bookmarkStart w:id="45" w:name="_Toc345167240"/>
            <w:r>
              <w:rPr>
                <w:rFonts w:hint="eastAsia" w:ascii="宋体" w:hAnsi="宋体" w:eastAsia="宋体" w:cs="宋体"/>
                <w:caps w:val="0"/>
                <w:spacing w:val="0"/>
                <w:sz w:val="20"/>
                <w:szCs w:val="20"/>
              </w:rPr>
              <w:t>二、纸媒投放数据监测</w:t>
            </w:r>
            <w:bookmarkEnd w:id="45"/>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1、报广投放时间段分析</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Style w:val="7"/>
                <w:rFonts w:hint="eastAsia" w:ascii="宋体" w:hAnsi="宋体" w:eastAsia="宋体" w:cs="宋体"/>
                <w:caps w:val="0"/>
                <w:spacing w:val="0"/>
                <w:kern w:val="0"/>
                <w:sz w:val="20"/>
                <w:szCs w:val="20"/>
                <w:lang w:val="en-US" w:eastAsia="zh-CN" w:bidi="ar"/>
              </w:rPr>
              <w:t>本月投放量统计</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Style w:val="7"/>
                <w:rFonts w:hint="eastAsia" w:ascii="宋体" w:hAnsi="宋体" w:eastAsia="宋体" w:cs="宋体"/>
                <w:caps w:val="0"/>
                <w:spacing w:val="0"/>
                <w:kern w:val="0"/>
                <w:sz w:val="20"/>
                <w:szCs w:val="20"/>
                <w:lang w:val="en-US" w:eastAsia="zh-CN" w:bidi="ar"/>
              </w:rPr>
              <w:drawing>
                <wp:inline distT="0" distB="0" distL="114300" distR="114300">
                  <wp:extent cx="2628900" cy="1733550"/>
                  <wp:effectExtent l="0" t="0" r="7620" b="3810"/>
                  <wp:docPr id="32"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287"/>
                          <pic:cNvPicPr>
                            <a:picLocks noChangeAspect="1"/>
                          </pic:cNvPicPr>
                        </pic:nvPicPr>
                        <pic:blipFill>
                          <a:blip r:embed="rId35"/>
                          <a:stretch>
                            <a:fillRect/>
                          </a:stretch>
                        </pic:blipFill>
                        <pic:spPr>
                          <a:xfrm>
                            <a:off x="0" y="0"/>
                            <a:ext cx="2628900" cy="1733550"/>
                          </a:xfrm>
                          <a:prstGeom prst="rect">
                            <a:avLst/>
                          </a:prstGeom>
                          <a:noFill/>
                          <a:ln w="9525">
                            <a:noFill/>
                          </a:ln>
                        </pic:spPr>
                      </pic:pic>
                    </a:graphicData>
                  </a:graphic>
                </wp:inline>
              </w:drawing>
            </w:r>
            <w:r>
              <w:rPr>
                <w:rStyle w:val="7"/>
                <w:rFonts w:hint="eastAsia" w:ascii="宋体" w:hAnsi="宋体" w:eastAsia="宋体" w:cs="宋体"/>
                <w:caps w:val="0"/>
                <w:spacing w:val="0"/>
                <w:kern w:val="0"/>
                <w:sz w:val="20"/>
                <w:szCs w:val="20"/>
                <w:lang w:val="en-US" w:eastAsia="zh-CN" w:bidi="ar"/>
              </w:rPr>
              <w:t> </w:t>
            </w:r>
            <w:r>
              <w:rPr>
                <w:rStyle w:val="7"/>
                <w:rFonts w:hint="eastAsia" w:ascii="宋体" w:hAnsi="宋体" w:eastAsia="宋体" w:cs="宋体"/>
                <w:caps w:val="0"/>
                <w:spacing w:val="0"/>
                <w:kern w:val="0"/>
                <w:sz w:val="20"/>
                <w:szCs w:val="20"/>
                <w:lang w:val="en-US" w:eastAsia="zh-CN" w:bidi="ar"/>
              </w:rPr>
              <w:drawing>
                <wp:inline distT="0" distB="0" distL="114300" distR="114300">
                  <wp:extent cx="2790825" cy="1733550"/>
                  <wp:effectExtent l="0" t="0" r="13335" b="3810"/>
                  <wp:docPr id="33"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288"/>
                          <pic:cNvPicPr>
                            <a:picLocks noChangeAspect="1"/>
                          </pic:cNvPicPr>
                        </pic:nvPicPr>
                        <pic:blipFill>
                          <a:blip r:embed="rId36"/>
                          <a:stretch>
                            <a:fillRect/>
                          </a:stretch>
                        </pic:blipFill>
                        <pic:spPr>
                          <a:xfrm>
                            <a:off x="0" y="0"/>
                            <a:ext cx="2790825" cy="1733550"/>
                          </a:xfrm>
                          <a:prstGeom prst="rect">
                            <a:avLst/>
                          </a:prstGeom>
                          <a:noFill/>
                          <a:ln w="9525">
                            <a:noFill/>
                          </a:ln>
                        </pic:spPr>
                      </pic:pic>
                    </a:graphicData>
                  </a:graphic>
                </wp:inline>
              </w:drawing>
            </w:r>
            <w:r>
              <w:rPr>
                <w:rStyle w:val="7"/>
                <w:rFonts w:hint="eastAsia" w:ascii="宋体" w:hAnsi="宋体" w:eastAsia="宋体" w:cs="宋体"/>
                <w:caps w:val="0"/>
                <w:spacing w:val="0"/>
                <w:kern w:val="0"/>
                <w:sz w:val="20"/>
                <w:szCs w:val="20"/>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本月报广投放量从时间上来看，主要集中在6日、13日、20日及27日这4个时间点，绝大多数集中在周五，占到了72%。其中13日投放量达到巅峰，共计8篇。</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Style w:val="7"/>
                <w:rFonts w:hint="eastAsia" w:ascii="宋体" w:hAnsi="宋体" w:eastAsia="宋体" w:cs="宋体"/>
                <w:caps w:val="0"/>
                <w:spacing w:val="0"/>
                <w:kern w:val="0"/>
                <w:sz w:val="14"/>
                <w:szCs w:val="14"/>
                <w:lang w:val="en-US" w:eastAsia="zh-CN" w:bidi="ar"/>
              </w:rPr>
              <w:t>     2、投放媒体及版面分析</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Style w:val="7"/>
                <w:rFonts w:hint="eastAsia" w:ascii="宋体" w:hAnsi="宋体" w:eastAsia="宋体" w:cs="宋体"/>
                <w:caps w:val="0"/>
                <w:spacing w:val="0"/>
                <w:kern w:val="0"/>
                <w:sz w:val="14"/>
                <w:szCs w:val="14"/>
                <w:lang w:val="en-US" w:eastAsia="zh-CN" w:bidi="ar"/>
              </w:rPr>
              <w:t>投放媒体及版面统计</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Style w:val="7"/>
                <w:rFonts w:hint="eastAsia" w:ascii="宋体" w:hAnsi="宋体" w:eastAsia="宋体" w:cs="宋体"/>
                <w:caps w:val="0"/>
                <w:spacing w:val="0"/>
                <w:kern w:val="0"/>
                <w:sz w:val="14"/>
                <w:szCs w:val="14"/>
                <w:lang w:val="en-US" w:eastAsia="zh-CN" w:bidi="ar"/>
              </w:rPr>
              <w:drawing>
                <wp:inline distT="0" distB="0" distL="114300" distR="114300">
                  <wp:extent cx="2619375" cy="1600200"/>
                  <wp:effectExtent l="0" t="0" r="1905" b="0"/>
                  <wp:docPr id="18"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4" descr="IMG_289"/>
                          <pic:cNvPicPr>
                            <a:picLocks noChangeAspect="1"/>
                          </pic:cNvPicPr>
                        </pic:nvPicPr>
                        <pic:blipFill>
                          <a:blip r:embed="rId37"/>
                          <a:stretch>
                            <a:fillRect/>
                          </a:stretch>
                        </pic:blipFill>
                        <pic:spPr>
                          <a:xfrm>
                            <a:off x="0" y="0"/>
                            <a:ext cx="2619375" cy="1600200"/>
                          </a:xfrm>
                          <a:prstGeom prst="rect">
                            <a:avLst/>
                          </a:prstGeom>
                          <a:noFill/>
                          <a:ln w="9525">
                            <a:noFill/>
                          </a:ln>
                        </pic:spPr>
                      </pic:pic>
                    </a:graphicData>
                  </a:graphic>
                </wp:inline>
              </w:drawing>
            </w:r>
            <w:r>
              <w:rPr>
                <w:rStyle w:val="7"/>
                <w:rFonts w:hint="eastAsia" w:ascii="宋体" w:hAnsi="宋体" w:eastAsia="宋体" w:cs="宋体"/>
                <w:caps w:val="0"/>
                <w:spacing w:val="0"/>
                <w:kern w:val="0"/>
                <w:sz w:val="14"/>
                <w:szCs w:val="14"/>
                <w:lang w:val="en-US" w:eastAsia="zh-CN" w:bidi="ar"/>
              </w:rPr>
              <w:t> </w:t>
            </w:r>
            <w:r>
              <w:rPr>
                <w:rStyle w:val="7"/>
                <w:rFonts w:hint="eastAsia" w:ascii="宋体" w:hAnsi="宋体" w:eastAsia="宋体" w:cs="宋体"/>
                <w:caps w:val="0"/>
                <w:spacing w:val="0"/>
                <w:kern w:val="0"/>
                <w:sz w:val="14"/>
                <w:szCs w:val="14"/>
                <w:lang w:val="en-US" w:eastAsia="zh-CN" w:bidi="ar"/>
              </w:rPr>
              <w:drawing>
                <wp:inline distT="0" distB="0" distL="114300" distR="114300">
                  <wp:extent cx="2857500" cy="1600200"/>
                  <wp:effectExtent l="0" t="0" r="7620" b="0"/>
                  <wp:docPr id="25"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5" descr="IMG_290"/>
                          <pic:cNvPicPr>
                            <a:picLocks noChangeAspect="1"/>
                          </pic:cNvPicPr>
                        </pic:nvPicPr>
                        <pic:blipFill>
                          <a:blip r:embed="rId38"/>
                          <a:stretch>
                            <a:fillRect/>
                          </a:stretch>
                        </pic:blipFill>
                        <pic:spPr>
                          <a:xfrm>
                            <a:off x="0" y="0"/>
                            <a:ext cx="2857500" cy="16002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本月三峡晚报投放量位居第一，共21篇，占纸媒总投放量的59%。三峡商报次之，共12篇，占纸媒总投放量的33%。投放版面主要集中在半版，占比56%；整版其次，占比为27%，整版投放较多的楼盘主要有易家居、依山郡及恒大帝景等。</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Style w:val="7"/>
                <w:rFonts w:hint="eastAsia" w:ascii="宋体" w:hAnsi="宋体" w:eastAsia="宋体" w:cs="宋体"/>
                <w:caps w:val="0"/>
                <w:spacing w:val="0"/>
                <w:kern w:val="0"/>
                <w:sz w:val="20"/>
                <w:szCs w:val="20"/>
                <w:lang w:val="en-US" w:eastAsia="zh-CN" w:bidi="ar"/>
              </w:rPr>
              <w:t>    3、项目投放量分析</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Style w:val="7"/>
                <w:rFonts w:hint="eastAsia" w:ascii="宋体" w:hAnsi="宋体" w:eastAsia="宋体" w:cs="宋体"/>
                <w:caps w:val="0"/>
                <w:spacing w:val="0"/>
                <w:kern w:val="0"/>
                <w:sz w:val="20"/>
                <w:szCs w:val="20"/>
                <w:lang w:val="en-US" w:eastAsia="zh-CN" w:bidi="ar"/>
              </w:rPr>
              <w:t>各楼盘本月纸媒投放量对比</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Style w:val="7"/>
                <w:rFonts w:hint="eastAsia" w:ascii="宋体" w:hAnsi="宋体" w:eastAsia="宋体" w:cs="宋体"/>
                <w:caps w:val="0"/>
                <w:spacing w:val="0"/>
                <w:kern w:val="0"/>
                <w:sz w:val="14"/>
                <w:szCs w:val="14"/>
                <w:lang w:val="en-US" w:eastAsia="zh-CN" w:bidi="ar"/>
              </w:rPr>
              <w:drawing>
                <wp:inline distT="0" distB="0" distL="114300" distR="114300">
                  <wp:extent cx="5334000" cy="2238375"/>
                  <wp:effectExtent l="0" t="0" r="0" b="1905"/>
                  <wp:docPr id="20"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6" descr="IMG_291"/>
                          <pic:cNvPicPr>
                            <a:picLocks noChangeAspect="1"/>
                          </pic:cNvPicPr>
                        </pic:nvPicPr>
                        <pic:blipFill>
                          <a:blip r:embed="rId39"/>
                          <a:stretch>
                            <a:fillRect/>
                          </a:stretch>
                        </pic:blipFill>
                        <pic:spPr>
                          <a:xfrm>
                            <a:off x="0" y="0"/>
                            <a:ext cx="5334000" cy="223837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纸媒投放TOP 1、2、3：</w:t>
            </w:r>
            <w:r>
              <w:rPr>
                <w:rFonts w:hint="eastAsia" w:ascii="宋体" w:hAnsi="宋体" w:eastAsia="宋体" w:cs="宋体"/>
                <w:caps w:val="0"/>
                <w:spacing w:val="0"/>
                <w:kern w:val="0"/>
                <w:sz w:val="20"/>
                <w:szCs w:val="20"/>
                <w:lang w:val="en-US" w:eastAsia="zh-CN" w:bidi="ar"/>
              </w:rPr>
              <w:t>鑫鼎汽配机电城、恒大绿洲、易家居</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drawing>
                <wp:inline distT="0" distB="0" distL="114300" distR="114300">
                  <wp:extent cx="2590800" cy="2000250"/>
                  <wp:effectExtent l="0" t="0" r="0" b="11430"/>
                  <wp:docPr id="34"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7" descr="IMG_292"/>
                          <pic:cNvPicPr>
                            <a:picLocks noChangeAspect="1"/>
                          </pic:cNvPicPr>
                        </pic:nvPicPr>
                        <pic:blipFill>
                          <a:blip r:embed="rId40"/>
                          <a:stretch>
                            <a:fillRect/>
                          </a:stretch>
                        </pic:blipFill>
                        <pic:spPr>
                          <a:xfrm>
                            <a:off x="0" y="0"/>
                            <a:ext cx="2590800" cy="2000250"/>
                          </a:xfrm>
                          <a:prstGeom prst="rect">
                            <a:avLst/>
                          </a:prstGeom>
                          <a:noFill/>
                          <a:ln w="9525">
                            <a:noFill/>
                          </a:ln>
                        </pic:spPr>
                      </pic:pic>
                    </a:graphicData>
                  </a:graphic>
                </wp:inline>
              </w:drawing>
            </w: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2667000" cy="2000250"/>
                  <wp:effectExtent l="0" t="0" r="0" b="11430"/>
                  <wp:docPr id="21"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8" descr="IMG_293"/>
                          <pic:cNvPicPr>
                            <a:picLocks noChangeAspect="1"/>
                          </pic:cNvPicPr>
                        </pic:nvPicPr>
                        <pic:blipFill>
                          <a:blip r:embed="rId41"/>
                          <a:stretch>
                            <a:fillRect/>
                          </a:stretch>
                        </pic:blipFill>
                        <pic:spPr>
                          <a:xfrm>
                            <a:off x="0" y="0"/>
                            <a:ext cx="2667000" cy="20002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本月鑫鼎汽配机电城共投放报广6篇，主要宣传商铺招商。恒大绿洲共计投放报广5篇，主要宣传销售优惠信息。易家居共投放报广4篇，主要宣传商铺3月28日认筹。</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纸媒投放TOP 4、5、6：</w:t>
            </w:r>
            <w:r>
              <w:rPr>
                <w:rFonts w:hint="eastAsia" w:ascii="宋体" w:hAnsi="宋体" w:eastAsia="宋体" w:cs="宋体"/>
                <w:caps w:val="0"/>
                <w:spacing w:val="0"/>
                <w:kern w:val="0"/>
                <w:sz w:val="20"/>
                <w:szCs w:val="20"/>
                <w:lang w:val="en-US" w:eastAsia="zh-CN" w:bidi="ar"/>
              </w:rPr>
              <w:t>江山多娇、世纪山水、宜化巴黎香颂</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drawing>
                <wp:inline distT="0" distB="0" distL="114300" distR="114300">
                  <wp:extent cx="1771650" cy="1066800"/>
                  <wp:effectExtent l="0" t="0" r="11430" b="0"/>
                  <wp:docPr id="23"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9" descr="IMG_294"/>
                          <pic:cNvPicPr>
                            <a:picLocks noChangeAspect="1"/>
                          </pic:cNvPicPr>
                        </pic:nvPicPr>
                        <pic:blipFill>
                          <a:blip r:embed="rId42"/>
                          <a:stretch>
                            <a:fillRect/>
                          </a:stretch>
                        </pic:blipFill>
                        <pic:spPr>
                          <a:xfrm>
                            <a:off x="0" y="0"/>
                            <a:ext cx="1771650" cy="1066800"/>
                          </a:xfrm>
                          <a:prstGeom prst="rect">
                            <a:avLst/>
                          </a:prstGeom>
                          <a:noFill/>
                          <a:ln w="9525">
                            <a:noFill/>
                          </a:ln>
                        </pic:spPr>
                      </pic:pic>
                    </a:graphicData>
                  </a:graphic>
                </wp:inline>
              </w:drawing>
            </w: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1866900" cy="1066800"/>
                  <wp:effectExtent l="0" t="0" r="7620" b="0"/>
                  <wp:docPr id="35" name="图片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0" descr="IMG_295"/>
                          <pic:cNvPicPr>
                            <a:picLocks noChangeAspect="1"/>
                          </pic:cNvPicPr>
                        </pic:nvPicPr>
                        <pic:blipFill>
                          <a:blip r:embed="rId43"/>
                          <a:stretch>
                            <a:fillRect/>
                          </a:stretch>
                        </pic:blipFill>
                        <pic:spPr>
                          <a:xfrm>
                            <a:off x="0" y="0"/>
                            <a:ext cx="1866900" cy="1066800"/>
                          </a:xfrm>
                          <a:prstGeom prst="rect">
                            <a:avLst/>
                          </a:prstGeom>
                          <a:noFill/>
                          <a:ln w="9525">
                            <a:noFill/>
                          </a:ln>
                        </pic:spPr>
                      </pic:pic>
                    </a:graphicData>
                  </a:graphic>
                </wp:inline>
              </w:drawing>
            </w: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1514475" cy="1066800"/>
                  <wp:effectExtent l="0" t="0" r="9525" b="0"/>
                  <wp:docPr id="38" name="图片 4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1" descr="IMG_296"/>
                          <pic:cNvPicPr>
                            <a:picLocks noChangeAspect="1"/>
                          </pic:cNvPicPr>
                        </pic:nvPicPr>
                        <pic:blipFill>
                          <a:blip r:embed="rId44"/>
                          <a:stretch>
                            <a:fillRect/>
                          </a:stretch>
                        </pic:blipFill>
                        <pic:spPr>
                          <a:xfrm>
                            <a:off x="0" y="0"/>
                            <a:ext cx="1514475" cy="10668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本月江山多娇4期共计投放报广3篇，主要刊登3月15日7号楼加推。世纪山水共计投放报广3篇，主要宣传产品信息及VIP卡申领。巴黎香颂共计投放报广2篇，</w:t>
            </w:r>
            <w:bookmarkStart w:id="46" w:name="_Toc380050050"/>
            <w:r>
              <w:rPr>
                <w:rFonts w:hint="eastAsia" w:ascii="宋体" w:hAnsi="宋体" w:eastAsia="宋体" w:cs="宋体"/>
                <w:caps w:val="0"/>
                <w:spacing w:val="0"/>
                <w:kern w:val="0"/>
                <w:sz w:val="20"/>
                <w:szCs w:val="20"/>
                <w:lang w:val="en-US" w:eastAsia="zh-CN" w:bidi="ar"/>
              </w:rPr>
              <w:t>主要宣传</w:t>
            </w:r>
            <w:bookmarkEnd w:id="46"/>
            <w:bookmarkStart w:id="47" w:name="_Toc398024667"/>
            <w:bookmarkEnd w:id="47"/>
            <w:bookmarkStart w:id="48" w:name="_Toc384796975"/>
            <w:r>
              <w:rPr>
                <w:rFonts w:hint="eastAsia" w:ascii="宋体" w:hAnsi="宋体" w:eastAsia="宋体" w:cs="宋体"/>
                <w:caps w:val="0"/>
                <w:spacing w:val="0"/>
                <w:kern w:val="0"/>
                <w:sz w:val="20"/>
                <w:szCs w:val="20"/>
                <w:lang w:val="en-US" w:eastAsia="zh-CN" w:bidi="ar"/>
              </w:rPr>
              <w:t>优项目促销优惠信息。</w:t>
            </w:r>
            <w:bookmarkEnd w:id="48"/>
          </w:p>
          <w:p>
            <w:pPr>
              <w:pStyle w:val="3"/>
              <w:keepNext w:val="0"/>
              <w:keepLines w:val="0"/>
              <w:widowControl/>
              <w:suppressLineNumbers w:val="0"/>
              <w:spacing w:line="24" w:lineRule="atLeast"/>
              <w:jc w:val="left"/>
            </w:pPr>
            <w:r>
              <w:rPr>
                <w:rFonts w:hint="eastAsia" w:ascii="宋体" w:hAnsi="宋体" w:eastAsia="宋体" w:cs="宋体"/>
                <w:caps w:val="0"/>
                <w:spacing w:val="0"/>
                <w:sz w:val="20"/>
                <w:szCs w:val="20"/>
              </w:rPr>
              <w:t>   三、网络媒体监测</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bookmarkStart w:id="49" w:name="_Toc380050051"/>
            <w:r>
              <w:rPr>
                <w:rFonts w:hint="eastAsia" w:ascii="宋体" w:hAnsi="宋体" w:eastAsia="宋体" w:cs="宋体"/>
                <w:b/>
                <w:caps w:val="0"/>
                <w:spacing w:val="0"/>
                <w:kern w:val="0"/>
                <w:sz w:val="20"/>
                <w:szCs w:val="20"/>
                <w:lang w:val="en-US" w:eastAsia="zh-CN" w:bidi="ar"/>
              </w:rPr>
              <w:t>1</w:t>
            </w:r>
            <w:bookmarkEnd w:id="49"/>
            <w:r>
              <w:rPr>
                <w:rFonts w:hint="eastAsia" w:ascii="宋体" w:hAnsi="宋体" w:eastAsia="宋体" w:cs="宋体"/>
                <w:b/>
                <w:caps w:val="0"/>
                <w:spacing w:val="0"/>
                <w:kern w:val="0"/>
                <w:sz w:val="20"/>
                <w:szCs w:val="20"/>
                <w:lang w:val="en-US" w:eastAsia="zh-CN" w:bidi="ar"/>
              </w:rPr>
              <w:t>、搜房网</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bookmarkStart w:id="50" w:name="_Toc380050052"/>
            <w:r>
              <w:rPr>
                <w:rFonts w:hint="eastAsia" w:ascii="宋体" w:hAnsi="宋体" w:eastAsia="宋体" w:cs="宋体"/>
                <w:caps w:val="0"/>
                <w:spacing w:val="0"/>
                <w:kern w:val="0"/>
                <w:sz w:val="20"/>
                <w:szCs w:val="20"/>
                <w:lang w:val="en-US" w:eastAsia="zh-CN" w:bidi="ar"/>
              </w:rPr>
              <w:t>本月在搜房网投放广告的主要有月星国际城、恒大帝景、三峡企业总部基地、华鹏梧桐邑、上上城3期等楼盘。</w:t>
            </w:r>
            <w:bookmarkEnd w:id="50"/>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5067300" cy="2266950"/>
                  <wp:effectExtent l="0" t="0" r="7620" b="3810"/>
                  <wp:docPr id="37" name="图片 4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2" descr="IMG_297"/>
                          <pic:cNvPicPr>
                            <a:picLocks noChangeAspect="1"/>
                          </pic:cNvPicPr>
                        </pic:nvPicPr>
                        <pic:blipFill>
                          <a:blip r:embed="rId45"/>
                          <a:stretch>
                            <a:fillRect/>
                          </a:stretch>
                        </pic:blipFill>
                        <pic:spPr>
                          <a:xfrm>
                            <a:off x="0" y="0"/>
                            <a:ext cx="5067300" cy="22669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14"/>
                <w:szCs w:val="14"/>
                <w:lang w:val="en-US" w:eastAsia="zh-CN" w:bidi="ar"/>
              </w:rPr>
              <w:t>     </w:t>
            </w:r>
            <w:r>
              <w:rPr>
                <w:rFonts w:hint="eastAsia" w:ascii="宋体" w:hAnsi="宋体" w:eastAsia="宋体" w:cs="宋体"/>
                <w:b/>
                <w:caps w:val="0"/>
                <w:spacing w:val="0"/>
                <w:kern w:val="0"/>
                <w:sz w:val="20"/>
                <w:szCs w:val="20"/>
                <w:lang w:val="en-US" w:eastAsia="zh-CN" w:bidi="ar"/>
              </w:rPr>
              <w:t>2、房产网</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w:t>
            </w:r>
            <w:bookmarkStart w:id="51" w:name="_Toc380050054"/>
            <w:r>
              <w:rPr>
                <w:rFonts w:hint="eastAsia" w:ascii="宋体" w:hAnsi="宋体" w:eastAsia="宋体" w:cs="宋体"/>
                <w:caps w:val="0"/>
                <w:spacing w:val="0"/>
                <w:kern w:val="0"/>
                <w:sz w:val="20"/>
                <w:szCs w:val="20"/>
                <w:lang w:val="en-US" w:eastAsia="zh-CN" w:bidi="ar"/>
              </w:rPr>
              <w:t>本月在房产网上投放广告的主要有中交宜城春晓、恒大绿洲及宜化新天地等项目。</w:t>
            </w:r>
            <w:bookmarkEnd w:id="51"/>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5334000" cy="1323975"/>
                  <wp:effectExtent l="0" t="0" r="0" b="1905"/>
                  <wp:docPr id="24" name="图片 43"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3" descr="IMG_298"/>
                          <pic:cNvPicPr>
                            <a:picLocks noChangeAspect="1"/>
                          </pic:cNvPicPr>
                        </pic:nvPicPr>
                        <pic:blipFill>
                          <a:blip r:embed="rId46"/>
                          <a:stretch>
                            <a:fillRect/>
                          </a:stretch>
                        </pic:blipFill>
                        <pic:spPr>
                          <a:xfrm>
                            <a:off x="0" y="0"/>
                            <a:ext cx="5334000" cy="132397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bookmarkStart w:id="52" w:name="_Toc380050055"/>
            <w:r>
              <w:rPr>
                <w:rFonts w:hint="eastAsia" w:ascii="宋体" w:hAnsi="宋体" w:eastAsia="宋体" w:cs="宋体"/>
                <w:b/>
                <w:caps w:val="0"/>
                <w:spacing w:val="0"/>
                <w:kern w:val="0"/>
                <w:sz w:val="20"/>
                <w:szCs w:val="20"/>
                <w:lang w:val="en-US" w:eastAsia="zh-CN" w:bidi="ar"/>
              </w:rPr>
              <w:t>3</w:t>
            </w:r>
            <w:bookmarkEnd w:id="52"/>
            <w:r>
              <w:rPr>
                <w:rFonts w:hint="eastAsia" w:ascii="宋体" w:hAnsi="宋体" w:eastAsia="宋体" w:cs="宋体"/>
                <w:b/>
                <w:caps w:val="0"/>
                <w:spacing w:val="0"/>
                <w:kern w:val="0"/>
                <w:sz w:val="20"/>
                <w:szCs w:val="20"/>
                <w:lang w:val="en-US" w:eastAsia="zh-CN" w:bidi="ar"/>
              </w:rPr>
              <w:t>、大楚网</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bookmarkStart w:id="53" w:name="_Toc380050056"/>
            <w:r>
              <w:rPr>
                <w:rFonts w:hint="eastAsia" w:ascii="宋体" w:hAnsi="宋体" w:eastAsia="宋体" w:cs="宋体"/>
                <w:caps w:val="0"/>
                <w:spacing w:val="0"/>
                <w:kern w:val="0"/>
                <w:sz w:val="20"/>
                <w:szCs w:val="20"/>
                <w:lang w:val="en-US" w:eastAsia="zh-CN" w:bidi="ar"/>
              </w:rPr>
              <w:t>本月在大楚网上投放广告的主要有梧桐邑、正泰玫瑰园、城中半岛等项目</w:t>
            </w:r>
            <w:r>
              <w:rPr>
                <w:rFonts w:hint="eastAsia" w:ascii="宋体" w:hAnsi="宋体" w:eastAsia="宋体" w:cs="宋体"/>
                <w:caps w:val="0"/>
                <w:spacing w:val="0"/>
                <w:kern w:val="0"/>
                <w:sz w:val="14"/>
                <w:szCs w:val="14"/>
                <w:lang w:val="en-US" w:eastAsia="zh-CN" w:bidi="ar"/>
              </w:rPr>
              <w:t>。</w:t>
            </w:r>
            <w:bookmarkEnd w:id="53"/>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5334000" cy="1704975"/>
                  <wp:effectExtent l="0" t="0" r="0" b="1905"/>
                  <wp:docPr id="28" name="图片 4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4" descr="IMG_299"/>
                          <pic:cNvPicPr>
                            <a:picLocks noChangeAspect="1"/>
                          </pic:cNvPicPr>
                        </pic:nvPicPr>
                        <pic:blipFill>
                          <a:blip r:embed="rId47"/>
                          <a:stretch>
                            <a:fillRect/>
                          </a:stretch>
                        </pic:blipFill>
                        <pic:spPr>
                          <a:xfrm>
                            <a:off x="0" y="0"/>
                            <a:ext cx="5334000" cy="1704975"/>
                          </a:xfrm>
                          <a:prstGeom prst="rect">
                            <a:avLst/>
                          </a:prstGeom>
                          <a:noFill/>
                          <a:ln w="9525">
                            <a:noFill/>
                          </a:ln>
                        </pic:spPr>
                      </pic:pic>
                    </a:graphicData>
                  </a:graphic>
                </wp:inline>
              </w:drawing>
            </w:r>
            <w:r>
              <w:rPr>
                <w:rFonts w:hint="eastAsia" w:ascii="宋体" w:hAnsi="宋体" w:eastAsia="宋体" w:cs="宋体"/>
                <w:caps w:val="0"/>
                <w:spacing w:val="0"/>
                <w:kern w:val="0"/>
                <w:sz w:val="14"/>
                <w:szCs w:val="14"/>
                <w:lang w:val="en-US" w:eastAsia="zh-CN" w:bidi="ar"/>
              </w:rPr>
              <w:t>.</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20"/>
                <w:szCs w:val="20"/>
                <w:lang w:val="en-US" w:eastAsia="zh-CN" w:bidi="ar"/>
              </w:rPr>
              <w:t>本月报广投放量较上月明显减少，而活动量有所增加，目前市场行情依然很严峻，市场参与者皆经受着考验，开发商欲通过活动热场，以期望增加来访。如月星国际城“30元换房”活动；恒大绿洲“乒乓球”大赛活动；中交宜城春晓“风筝彩绘”DIY活动；江南星城“游车溪、鸣翠谷赏花”活动等。</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宜昌中央商务区滨江项目奠基仪式</w:t>
            </w:r>
          </w:p>
        </w:tc>
      </w:tr>
    </w:tbl>
    <w:p>
      <w:bookmarkStart w:id="54" w:name="_GoBack"/>
      <w:bookmarkEnd w:id="54"/>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05033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6">
    <w:name w:val="Default Paragraph Font"/>
    <w:semiHidden/>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9" Type="http://schemas.openxmlformats.org/officeDocument/2006/relationships/fontTable" Target="fontTable.xml"/><Relationship Id="rId48" Type="http://schemas.openxmlformats.org/officeDocument/2006/relationships/customXml" Target="../customXml/item1.xml"/><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Office_11.1.0.9098_F1E327BC-269C-435d-A152-05C5408002CA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2019-09-30T03:08:51Z</dcterms:created>
  <dc:creator>HP</dc:creator>
  <cp:lastModifiedBy>joke</cp:lastModifiedBy>
  <dcterms:modified xsi:type="dcterms:W3CDTF">2019-09-30T03:09:05Z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