
<file path=[Content_Types].xml><?xml version="1.0" encoding="utf-8"?>
<Types xmlns="http://schemas.openxmlformats.org/package/2006/content-types">
  <Default Extension="xml" ContentType="application/xml"/>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2014年7月宜昌市城区房地产市场分析报告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发布时间：8/21/2014 2:59:39 PM 浏览：2086</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第一部分楼市政策分析</w:t>
            </w:r>
          </w:p>
          <w:p>
            <w:pPr>
              <w:pStyle w:val="3"/>
              <w:keepNext w:val="0"/>
              <w:keepLines w:val="0"/>
              <w:widowControl/>
              <w:suppressLineNumbers w:val="0"/>
              <w:spacing w:line="24" w:lineRule="atLeast"/>
            </w:pPr>
            <w:bookmarkStart w:id="0" w:name="_Toc389951421"/>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1、7月9日，国土资源部:养老用地“约法三章”</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养老服务设施用地指导意见》围绕保障养老服务设施用地供应、规范养老服务设施用地开发利用管理、大力支持养老服务业发展“约法三章”。其中明确界定养老服务设施用地范围，且规定养老服务设施用地使用权可整体转让和转租，并不得改变规划确定的土地用途。</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人口老龄化在不断的快速发展，政府今年就养老设施用地多次发文，充分反映国家对“养老问题”的高度重视，在未来养老服务设施建设将成为开发商开发过程中需要面临的一门新课程。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2、7月18日，住建部：千方百计去库存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住建部部长陈政高召开全国住房城乡建设工作会，各地可以根据当地实际出台平稳房地产的相关政策，其中库存量较大的地方要千方百计消化商品房待售面积，加强房地产结构调整，完善房地产项目周边配套设施，加快行政审批速度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目前库存高企去化放缓，已成楼市心病，而此次陈部长明确指出“各地可以根据当地实际出台平稳房地产的相关政策”，该讲话传递出一个信号——支持“取消限购”。就此举于楼市而言无疑是好消息，但是收效如何，还有待观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3、7月24日，国务院：进一步推进户籍制度改革</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国务院印发《国务院关于进一步推进户籍制度改革的意见》，进一步调整户口迁移政策：全面放开建制镇和小城市落户限制，有序放开中等城市落户限制，合理确定大城市落户条件，严格控制特大城市人口规模。建立城乡统一的户口登记制度，建立居住证制度，健全人口信息管理制度，完善积分落户制度，切实保障农业转移人口及其他常住人口合法权益。</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将该文总结为“能放开的放开，该控制的控制”。国务院此举即是响应总理号召，更是维稳民生。对于房地产市场而言，户籍制度的改革，将意味着有更多的消费群体涌入市场，在市场不景气的情况下，必将起到一定的积极作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政策总结：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8" w:name="_Toc389951422"/>
            <w:bookmarkEnd w:id="8"/>
            <w:bookmarkStart w:id="9" w:name="_Toc384797620"/>
            <w:bookmarkEnd w:id="9"/>
            <w:r>
              <w:rPr>
                <w:rFonts w:hint="eastAsia" w:ascii="宋体" w:hAnsi="宋体" w:eastAsia="宋体" w:cs="宋体"/>
                <w:caps w:val="0"/>
                <w:spacing w:val="0"/>
                <w:kern w:val="0"/>
                <w:sz w:val="14"/>
                <w:szCs w:val="14"/>
                <w:lang w:val="en-US" w:eastAsia="zh-CN" w:bidi="ar"/>
              </w:rPr>
              <w:t>    </w:t>
            </w:r>
            <w:bookmarkStart w:id="10" w:name="_Toc380050034"/>
            <w:r>
              <w:rPr>
                <w:rFonts w:hint="eastAsia" w:ascii="宋体" w:hAnsi="宋体" w:eastAsia="宋体" w:cs="宋体"/>
                <w:caps w:val="0"/>
                <w:spacing w:val="0"/>
                <w:kern w:val="0"/>
                <w:sz w:val="20"/>
                <w:szCs w:val="20"/>
                <w:lang w:val="en-US" w:eastAsia="zh-CN" w:bidi="ar"/>
              </w:rPr>
              <w:t>中央无举动，地方躁动不安，</w:t>
            </w:r>
            <w:r>
              <w:rPr>
                <w:rFonts w:hint="eastAsia" w:ascii="宋体" w:hAnsi="宋体" w:eastAsia="宋体" w:cs="宋体"/>
                <w:b/>
                <w:caps w:val="0"/>
                <w:spacing w:val="0"/>
                <w:kern w:val="0"/>
                <w:sz w:val="20"/>
                <w:szCs w:val="20"/>
                <w:lang w:val="en-US" w:eastAsia="zh-CN" w:bidi="ar"/>
              </w:rPr>
              <w:t>“限购松绑”</w:t>
            </w:r>
            <w:r>
              <w:rPr>
                <w:rFonts w:hint="eastAsia" w:ascii="宋体" w:hAnsi="宋体" w:eastAsia="宋体" w:cs="宋体"/>
                <w:caps w:val="0"/>
                <w:spacing w:val="0"/>
                <w:kern w:val="0"/>
                <w:sz w:val="20"/>
                <w:szCs w:val="20"/>
                <w:lang w:val="en-US" w:eastAsia="zh-CN" w:bidi="ar"/>
              </w:rPr>
              <w:t>将成</w:t>
            </w:r>
            <w:r>
              <w:rPr>
                <w:rFonts w:hint="eastAsia" w:ascii="宋体" w:hAnsi="宋体" w:eastAsia="宋体" w:cs="宋体"/>
                <w:b/>
                <w:caps w:val="0"/>
                <w:spacing w:val="0"/>
                <w:kern w:val="0"/>
                <w:sz w:val="20"/>
                <w:szCs w:val="20"/>
                <w:lang w:val="en-US" w:eastAsia="zh-CN" w:bidi="ar"/>
              </w:rPr>
              <w:t>大势所趋</w:t>
            </w:r>
            <w:r>
              <w:rPr>
                <w:rFonts w:hint="eastAsia" w:ascii="宋体" w:hAnsi="宋体" w:eastAsia="宋体" w:cs="宋体"/>
                <w:caps w:val="0"/>
                <w:spacing w:val="0"/>
                <w:kern w:val="0"/>
                <w:sz w:val="20"/>
                <w:szCs w:val="20"/>
                <w:lang w:val="en-US" w:eastAsia="zh-CN" w:bidi="ar"/>
              </w:rPr>
              <w:t>，</w:t>
            </w:r>
            <w:bookmarkEnd w:id="10"/>
            <w:r>
              <w:rPr>
                <w:rFonts w:hint="eastAsia" w:ascii="宋体" w:hAnsi="宋体" w:eastAsia="宋体" w:cs="宋体"/>
                <w:b/>
                <w:caps w:val="0"/>
                <w:spacing w:val="0"/>
                <w:kern w:val="0"/>
                <w:sz w:val="20"/>
                <w:szCs w:val="20"/>
                <w:lang w:val="en-US" w:eastAsia="zh-CN" w:bidi="ar"/>
              </w:rPr>
              <w:t>“限贷”预计依旧严格</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限购松绑”之风已然刮起，目前46个限购城市中已有半数多的城市已调整，仅7月就有20个城市陆续调整限购。就在本月住建部召开全国住房城乡建设工作会议，明确指出“各地可以根据当地实际出台平稳房地产的相关政策”，委婉表达“支持取消限购”的观点。对于楼市颓势，地方硝烟弥漫，剑指“限购”，“松绑”迫在眉睫，也是大势所趋。然其“同胞兄弟”岿然不动，目前“限贷”向缓的言论未闻半点风声，且信贷又有趋紧的势头，市场行情也不容乐观，预计“限贷”政策将会持续。</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供应情况：7月全国300个城市共推出土地3462宗，环比增加23%，同比持平；推出土地面积11875万平方米，环比增加10%，同比减少11%；其中，住宅类用地（含住宅用地及包含住宅用地的综合性用地）762宗，环比减少9%，同比减少35%；推出土地面积3293万平方米，环比减少15%，同比减少36%。</w:t>
            </w:r>
            <w:r>
              <w:rPr>
                <w:rFonts w:hint="eastAsia" w:ascii="宋体" w:hAnsi="宋体" w:eastAsia="宋体" w:cs="宋体"/>
                <w:b/>
                <w:caps w:val="0"/>
                <w:spacing w:val="0"/>
                <w:kern w:val="0"/>
                <w:sz w:val="20"/>
                <w:szCs w:val="20"/>
                <w:lang w:val="en-US" w:eastAsia="zh-CN" w:bidi="ar"/>
              </w:rPr>
              <w:t>下半年主要城市推地节奏增快，供应量有所回升，住宅用地同比降幅仍高于总体。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成交情况：7月全国300个城市共成交土地1967宗，环比减少18%，同比减少40%；成交面积6666万平方米，环比减少23%，同比减少44%。其中，住宅类用地（含住宅用地及包含住宅用地的综合性用地）496宗，环比减少22%，同比减少52%；成交面积2175万平方米，环比减少27%，同比减少53%。</w:t>
            </w:r>
            <w:r>
              <w:rPr>
                <w:rFonts w:hint="eastAsia" w:ascii="宋体" w:hAnsi="宋体" w:eastAsia="宋体" w:cs="宋体"/>
                <w:b/>
                <w:caps w:val="0"/>
                <w:spacing w:val="0"/>
                <w:kern w:val="0"/>
                <w:sz w:val="20"/>
                <w:szCs w:val="20"/>
                <w:lang w:val="en-US" w:eastAsia="zh-CN" w:bidi="ar"/>
              </w:rPr>
              <w:t>楼市下行压力传导至土地市场，本月成交量继续下滑，同环比降幅再扩大。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◆成交价格：7月全国300个城市成交楼面均价为1213元/平方米，环比上涨13%，同比下跌6%；其中住宅类用地（含住宅用地及包含住宅用地的综合性用地）成交楼面均价为1777元/平方米，环比上涨11%，同比下跌1%。</w:t>
            </w:r>
            <w:r>
              <w:rPr>
                <w:rFonts w:hint="eastAsia" w:ascii="宋体" w:hAnsi="宋体" w:eastAsia="宋体" w:cs="宋体"/>
                <w:b/>
                <w:caps w:val="0"/>
                <w:spacing w:val="0"/>
                <w:kern w:val="0"/>
                <w:sz w:val="20"/>
                <w:szCs w:val="20"/>
                <w:lang w:val="en-US" w:eastAsia="zh-CN" w:bidi="ar"/>
              </w:rPr>
              <w:t>本月成交楼面均价维持增涨但低于去年同期，年内首现同比下降。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本月监测的100个城市中成交价格环比上涨的有24个，其中泉州涨幅最大，为1.66%；而其余76个城市均环比下跌，其中吉林、菏泽跌幅最大，均在3%以上。10个重点城市全部下跌，其中广州跌幅最大，环比下跌1.77%。</w:t>
            </w:r>
            <w:r>
              <w:rPr>
                <w:rFonts w:hint="eastAsia" w:ascii="宋体" w:hAnsi="宋体" w:eastAsia="宋体" w:cs="宋体"/>
                <w:b/>
                <w:caps w:val="0"/>
                <w:spacing w:val="0"/>
                <w:kern w:val="0"/>
                <w:sz w:val="20"/>
                <w:szCs w:val="20"/>
                <w:lang w:val="en-US" w:eastAsia="zh-CN" w:bidi="ar"/>
              </w:rPr>
              <w:t>总体而言，本月成交均价大半持续下跌，且下跌城市增多。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 本月宜昌楼市情况：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伴随着七月炎热天气，宜昌楼市也出现“高温”。土地市场成交量较为可观，成交水平保持在中偏高位；而此次住宅市场也超常发挥，本月成交量达到年度历史高位，力压春节交易量，蔚为壮观。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991100" cy="2809875"/>
                  <wp:effectExtent l="0" t="0" r="7620"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4991100" cy="28098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495800" cy="2609850"/>
                  <wp:effectExtent l="0" t="0" r="0" b="1143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495800" cy="2609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就全国楼市而言，其住宅成交量在本月止跌回升，且近7成城市价格出现下跌，以价换量动作明显。而</w:t>
            </w:r>
            <w:r>
              <w:rPr>
                <w:rFonts w:hint="eastAsia" w:ascii="宋体" w:hAnsi="宋体" w:eastAsia="宋体" w:cs="宋体"/>
                <w:b/>
                <w:caps w:val="0"/>
                <w:spacing w:val="0"/>
                <w:kern w:val="0"/>
                <w:sz w:val="20"/>
                <w:szCs w:val="20"/>
                <w:lang w:val="en-US" w:eastAsia="zh-CN" w:bidi="ar"/>
              </w:rPr>
              <w:t>宜昌住宅市场价格上涨幅度居全国第四</w:t>
            </w:r>
            <w:r>
              <w:rPr>
                <w:rFonts w:hint="eastAsia" w:ascii="宋体" w:hAnsi="宋体" w:eastAsia="宋体" w:cs="宋体"/>
                <w:caps w:val="0"/>
                <w:spacing w:val="0"/>
                <w:kern w:val="0"/>
                <w:sz w:val="20"/>
                <w:szCs w:val="20"/>
                <w:lang w:val="en-US" w:eastAsia="zh-CN" w:bidi="ar"/>
              </w:rPr>
              <w:t>，价量齐升主要是受城中大盘如恒大帝景、山水华庭等项目集中出货千余套所致，其他</w:t>
            </w:r>
            <w:r>
              <w:rPr>
                <w:rFonts w:hint="eastAsia" w:ascii="宋体" w:hAnsi="宋体" w:eastAsia="宋体" w:cs="宋体"/>
                <w:b/>
                <w:caps w:val="0"/>
                <w:spacing w:val="0"/>
                <w:kern w:val="0"/>
                <w:sz w:val="20"/>
                <w:szCs w:val="20"/>
                <w:lang w:val="en-US" w:eastAsia="zh-CN" w:bidi="ar"/>
              </w:rPr>
              <w:t>楼盘成交</w:t>
            </w:r>
            <w:r>
              <w:rPr>
                <w:rFonts w:hint="eastAsia" w:ascii="宋体" w:hAnsi="宋体" w:eastAsia="宋体" w:cs="宋体"/>
                <w:caps w:val="0"/>
                <w:spacing w:val="0"/>
                <w:kern w:val="0"/>
                <w:sz w:val="20"/>
                <w:szCs w:val="20"/>
                <w:lang w:val="en-US" w:eastAsia="zh-CN" w:bidi="ar"/>
              </w:rPr>
              <w:t>情况，</w:t>
            </w:r>
            <w:r>
              <w:rPr>
                <w:rFonts w:hint="eastAsia" w:ascii="宋体" w:hAnsi="宋体" w:eastAsia="宋体" w:cs="宋体"/>
                <w:b/>
                <w:caps w:val="0"/>
                <w:spacing w:val="0"/>
                <w:kern w:val="0"/>
                <w:sz w:val="20"/>
                <w:szCs w:val="20"/>
                <w:lang w:val="en-US" w:eastAsia="zh-CN" w:bidi="ar"/>
              </w:rPr>
              <w:t>大多保持波动起伏走势，</w:t>
            </w:r>
            <w:r>
              <w:rPr>
                <w:rFonts w:hint="eastAsia" w:ascii="宋体" w:hAnsi="宋体" w:eastAsia="宋体" w:cs="宋体"/>
                <w:caps w:val="0"/>
                <w:spacing w:val="0"/>
                <w:kern w:val="0"/>
                <w:sz w:val="20"/>
                <w:szCs w:val="20"/>
                <w:lang w:val="en-US" w:eastAsia="zh-CN" w:bidi="ar"/>
              </w:rPr>
              <w:t>预计在下月宜昌楼市将回归正常体温。</w:t>
            </w:r>
          </w:p>
          <w:p>
            <w:pPr>
              <w:pStyle w:val="4"/>
              <w:keepNext w:val="0"/>
              <w:keepLines w:val="0"/>
              <w:widowControl/>
              <w:suppressLineNumbers w:val="0"/>
              <w:shd w:val="clear" w:fill="FFFFFF"/>
              <w:spacing w:before="0" w:beforeAutospacing="0" w:after="0" w:afterAutospacing="0" w:line="24" w:lineRule="atLeast"/>
              <w:ind w:left="0" w:right="0" w:firstLine="560"/>
            </w:pPr>
            <w:r>
              <w:rPr>
                <w:rFonts w:hint="eastAsia" w:ascii="宋体" w:hAnsi="宋体" w:eastAsia="宋体" w:cs="宋体"/>
                <w:caps w:val="0"/>
                <w:spacing w:val="0"/>
                <w:sz w:val="14"/>
                <w:szCs w:val="14"/>
                <w:shd w:val="clear" w:fill="FFFFFF"/>
                <w:lang w:val="en-US"/>
              </w:rPr>
              <w:t>          </w:t>
            </w:r>
            <w:r>
              <w:rPr>
                <w:rFonts w:hint="eastAsia" w:ascii="宋体" w:hAnsi="宋体" w:eastAsia="宋体" w:cs="宋体"/>
                <w:caps w:val="0"/>
                <w:spacing w:val="0"/>
                <w:sz w:val="14"/>
                <w:szCs w:val="14"/>
                <w:shd w:val="clear" w:fill="FFFFFF"/>
                <w:lang w:val="en-US"/>
              </w:rPr>
              <w:drawing>
                <wp:inline distT="0" distB="0" distL="114300" distR="114300">
                  <wp:extent cx="5334000" cy="2238375"/>
                  <wp:effectExtent l="0" t="0" r="0" b="190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6"/>
                          <a:stretch>
                            <a:fillRect/>
                          </a:stretch>
                        </pic:blipFill>
                        <pic:spPr>
                          <a:xfrm>
                            <a:off x="0" y="0"/>
                            <a:ext cx="5334000" cy="2238375"/>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lang w:val="en-US"/>
              </w:rPr>
              <w:t>第二部分土地市场分析</w:t>
            </w:r>
          </w:p>
          <w:p>
            <w:pPr>
              <w:pStyle w:val="3"/>
              <w:keepNext w:val="0"/>
              <w:keepLines w:val="0"/>
              <w:widowControl/>
              <w:suppressLineNumbers w:val="0"/>
              <w:spacing w:line="24" w:lineRule="atLeast"/>
            </w:pPr>
            <w:bookmarkStart w:id="11" w:name="_Toc389951424"/>
            <w:bookmarkEnd w:id="11"/>
            <w:bookmarkStart w:id="12" w:name="_Toc384797622"/>
            <w:bookmarkEnd w:id="12"/>
            <w:bookmarkStart w:id="13" w:name="_Toc384797306"/>
            <w:bookmarkEnd w:id="13"/>
            <w:bookmarkStart w:id="14" w:name="_Toc384797224"/>
            <w:bookmarkEnd w:id="14"/>
            <w:bookmarkStart w:id="15" w:name="_Toc384796965"/>
            <w:bookmarkEnd w:id="15"/>
            <w:bookmarkStart w:id="16" w:name="_Toc380050036"/>
            <w:bookmarkEnd w:id="16"/>
            <w:bookmarkStart w:id="17" w:name="_Toc353178132"/>
            <w:bookmarkEnd w:id="17"/>
            <w:bookmarkStart w:id="18" w:name="_Toc347757546"/>
            <w:bookmarkEnd w:id="18"/>
            <w:r>
              <w:rPr>
                <w:caps w:val="0"/>
                <w:spacing w:val="0"/>
                <w:lang w:val="en-US"/>
              </w:rPr>
              <w:t>  </w:t>
            </w:r>
            <w:bookmarkStart w:id="19" w:name="_Toc339981458"/>
            <w:r>
              <w:rPr>
                <w:caps w:val="0"/>
                <w:spacing w:val="0"/>
                <w:sz w:val="20"/>
                <w:szCs w:val="20"/>
                <w:lang w:val="en-US"/>
              </w:rPr>
              <w:t>一、土地供应市场解析</w:t>
            </w:r>
            <w:bookmarkEnd w:id="19"/>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lang w:val="en-US"/>
              </w:rPr>
            </w:pPr>
            <w:bookmarkStart w:id="20" w:name="_Toc380050037"/>
            <w:bookmarkEnd w:id="20"/>
            <w:r>
              <w:rPr>
                <w:rFonts w:hint="eastAsia" w:ascii="宋体" w:hAnsi="宋体" w:eastAsia="宋体" w:cs="宋体"/>
                <w:caps w:val="0"/>
                <w:spacing w:val="0"/>
                <w:kern w:val="0"/>
                <w:sz w:val="14"/>
                <w:szCs w:val="14"/>
                <w:lang w:val="en-US" w:eastAsia="zh-CN" w:bidi="ar"/>
              </w:rPr>
              <w:t>    </w:t>
            </w:r>
            <w:bookmarkStart w:id="21" w:name="_Toc350245826"/>
            <w:r>
              <w:rPr>
                <w:rFonts w:hint="eastAsia" w:ascii="宋体" w:hAnsi="宋体" w:eastAsia="宋体" w:cs="宋体"/>
                <w:b/>
                <w:caps w:val="0"/>
                <w:spacing w:val="0"/>
                <w:kern w:val="0"/>
                <w:sz w:val="20"/>
                <w:szCs w:val="20"/>
                <w:lang w:val="en-US" w:eastAsia="zh-CN" w:bidi="ar"/>
              </w:rPr>
              <w:t>1</w:t>
            </w:r>
            <w:bookmarkEnd w:id="21"/>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lang w:val="en-US"/>
              </w:rPr>
            </w:pPr>
            <w:r>
              <w:rPr>
                <w:rFonts w:hint="eastAsia" w:ascii="宋体" w:hAnsi="宋体" w:eastAsia="宋体" w:cs="宋体"/>
                <w:caps w:val="0"/>
                <w:spacing w:val="0"/>
                <w:kern w:val="0"/>
                <w:sz w:val="20"/>
                <w:szCs w:val="20"/>
                <w:lang w:val="en-US" w:eastAsia="zh-CN" w:bidi="ar"/>
              </w:rPr>
              <w:t>   本月出让地块</w:t>
            </w:r>
            <w:r>
              <w:rPr>
                <w:rFonts w:hint="eastAsia" w:ascii="宋体" w:hAnsi="宋体" w:eastAsia="宋体" w:cs="宋体"/>
                <w:b/>
                <w:caps w:val="0"/>
                <w:spacing w:val="0"/>
                <w:kern w:val="0"/>
                <w:sz w:val="20"/>
                <w:szCs w:val="20"/>
                <w:lang w:val="en-US" w:eastAsia="zh-CN" w:bidi="ar"/>
              </w:rPr>
              <w:t>22宗</w:t>
            </w:r>
            <w:r>
              <w:rPr>
                <w:rFonts w:hint="eastAsia" w:ascii="宋体" w:hAnsi="宋体" w:eastAsia="宋体" w:cs="宋体"/>
                <w:caps w:val="0"/>
                <w:spacing w:val="0"/>
                <w:kern w:val="0"/>
                <w:sz w:val="20"/>
                <w:szCs w:val="20"/>
                <w:lang w:val="en-US" w:eastAsia="zh-CN" w:bidi="ar"/>
              </w:rPr>
              <w:t>，出让总面积为</w:t>
            </w:r>
            <w:r>
              <w:rPr>
                <w:rFonts w:hint="eastAsia" w:ascii="宋体" w:hAnsi="宋体" w:eastAsia="宋体" w:cs="宋体"/>
                <w:b/>
                <w:caps w:val="0"/>
                <w:spacing w:val="0"/>
                <w:kern w:val="0"/>
                <w:sz w:val="20"/>
                <w:szCs w:val="20"/>
                <w:lang w:val="en-US" w:eastAsia="zh-CN" w:bidi="ar"/>
              </w:rPr>
              <w:t>68.95万方</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环比减少</w:t>
            </w:r>
            <w:r>
              <w:rPr>
                <w:rFonts w:hint="eastAsia" w:ascii="宋体" w:hAnsi="宋体" w:eastAsia="宋体" w:cs="宋体"/>
                <w:caps w:val="0"/>
                <w:spacing w:val="0"/>
                <w:kern w:val="0"/>
                <w:sz w:val="20"/>
                <w:szCs w:val="20"/>
                <w:lang w:val="en-US" w:eastAsia="zh-CN" w:bidi="ar"/>
              </w:rPr>
              <w:t>22%，</w:t>
            </w:r>
            <w:r>
              <w:rPr>
                <w:rFonts w:hint="eastAsia" w:ascii="宋体" w:hAnsi="宋体" w:eastAsia="宋体" w:cs="宋体"/>
                <w:b/>
                <w:caps w:val="0"/>
                <w:spacing w:val="0"/>
                <w:kern w:val="0"/>
                <w:sz w:val="20"/>
                <w:szCs w:val="20"/>
                <w:lang w:val="en-US" w:eastAsia="zh-CN" w:bidi="ar"/>
              </w:rPr>
              <w:t>同比减少</w:t>
            </w:r>
            <w:r>
              <w:rPr>
                <w:rFonts w:hint="eastAsia" w:ascii="宋体" w:hAnsi="宋体" w:eastAsia="宋体" w:cs="宋体"/>
                <w:caps w:val="0"/>
                <w:spacing w:val="0"/>
                <w:kern w:val="0"/>
                <w:sz w:val="20"/>
                <w:szCs w:val="20"/>
                <w:lang w:val="en-US" w:eastAsia="zh-CN" w:bidi="ar"/>
              </w:rPr>
              <w:t>14%。出让总额为3.8亿元</w:t>
            </w:r>
            <w:r>
              <w:rPr>
                <w:rFonts w:hint="eastAsia" w:ascii="宋体" w:hAnsi="宋体" w:eastAsia="宋体" w:cs="宋体"/>
                <w:b/>
                <w:caps w:val="0"/>
                <w:spacing w:val="0"/>
                <w:kern w:val="0"/>
                <w:sz w:val="20"/>
                <w:szCs w:val="20"/>
                <w:lang w:val="en-US" w:eastAsia="zh-CN" w:bidi="ar"/>
              </w:rPr>
              <w:t>。</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7月出让地块详情</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4086225"/>
                  <wp:effectExtent l="0" t="0" r="0" b="1333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334000" cy="4086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4457700"/>
                  <wp:effectExtent l="0" t="0" r="0" b="762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334000" cy="4457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2013年7月-2014年7月宜昌城区土地供给横向对比</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1619250"/>
                  <wp:effectExtent l="0" t="0" r="0" b="1143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334000" cy="16192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从用地性质上来看，工业用地19宗、商住用地2宗、公共设施用地1宗。大部分为工业用地，住宅类用地仅7.3万方，环比减少86%，同比减少85%。住宅类用地同环比均大幅下降，行情不及上月与去年同期。</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从区域上来看，供地区域主要集中在夷陵区，高新区次之，其中夷陵区13宗、高新区8宗、猇亭区1宗。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w:t>
            </w:r>
            <w:bookmarkStart w:id="22" w:name="_Toc389951425"/>
            <w:r>
              <w:rPr>
                <w:rFonts w:hint="eastAsia" w:ascii="宋体" w:hAnsi="宋体" w:eastAsia="宋体" w:cs="宋体"/>
                <w:b/>
                <w:caps w:val="0"/>
                <w:spacing w:val="0"/>
                <w:kern w:val="0"/>
                <w:sz w:val="20"/>
                <w:szCs w:val="20"/>
                <w:lang w:val="en-US" w:eastAsia="zh-CN" w:bidi="ar"/>
              </w:rPr>
              <w:t>本月出让的住宅类用地为【夷G[2014]46号】和【夷G[2014]47号】，预计未来放量为21.8万方，均位于东城城乡统筹发展试验区。</w:t>
            </w:r>
            <w:bookmarkEnd w:id="22"/>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注：简称“东城试验区”，2013年7月29日挂牌成立，辖区面积23.93平方公里,实行委托管理的办法,将小溪塔街办管理的东城社区、梅子垭村、郭家湾村、新桥边村、岩花村一组(原岔口坳村)、小溪塔柑橘场、茶店子柑橘场、凤凰山柑橘场整体托管给东城试验区。实施产城共融战略,构建以都市工业为主导、现代服务业和城郊休闲农业为两翼的三次产业互动融合发展体系。围绕城市新区和工业园区建设两大重点,加快建设宜昌核心城区、发展大道主街和企业总部经济园区,主动对</w:t>
            </w:r>
            <w:r>
              <w:rPr>
                <w:rFonts w:hint="eastAsia" w:ascii="宋体" w:hAnsi="宋体" w:eastAsia="宋体" w:cs="宋体"/>
                <w:b/>
                <w:caps w:val="0"/>
                <w:spacing w:val="0"/>
                <w:kern w:val="0"/>
                <w:sz w:val="14"/>
                <w:szCs w:val="14"/>
                <w:lang w:val="en-US" w:eastAsia="zh-CN" w:bidi="ar"/>
              </w:rPr>
              <w:t>接宜昌高新区,大力发展都市经济,以产兴城、产城共融、园城共建,成为夷陵经济转型的“新引擎”。）</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lang w:val="en-US"/>
              </w:rPr>
              <w:t>   二、本月土地成交分析</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本月成交地块18宗，成交总面积75.9万方，环比增加1.7倍，同比减少11%。成交金额9.3亿元，成交均价81万元/亩。</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7月成交地块详情</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5572125"/>
                  <wp:effectExtent l="0" t="0" r="0" b="571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334000" cy="5572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2、成交土地特征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从用地性质上来看，主要为工业用地，其中工业用地8宗，住宅用地4宗，商服用地2宗，商住用地、商服住宅用地、商业用地、商务办公用地各占1宗。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44.5万方住宅类用地主要集中在点军区，其中点军区3宗，伍家岗、高新区、夷陵区均为1宗。</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本月随州碧桂园房地产开发有限公司于点军摘得3宗地块。【宜土网挂（2014）55-57号】地块位于点军区</w:t>
            </w:r>
            <w:r>
              <w:rPr>
                <w:rFonts w:hint="eastAsia" w:ascii="宋体" w:hAnsi="宋体" w:eastAsia="宋体" w:cs="宋体"/>
                <w:b/>
                <w:caps w:val="0"/>
                <w:spacing w:val="0"/>
                <w:kern w:val="0"/>
                <w:sz w:val="20"/>
                <w:szCs w:val="20"/>
                <w:u w:val="single"/>
                <w:lang w:val="en-US" w:eastAsia="zh-CN" w:bidi="ar"/>
              </w:rPr>
              <w:t>南站路与五龙三路交汇处</w:t>
            </w:r>
            <w:r>
              <w:rPr>
                <w:rFonts w:hint="eastAsia" w:ascii="宋体" w:hAnsi="宋体" w:eastAsia="宋体" w:cs="宋体"/>
                <w:b/>
                <w:caps w:val="0"/>
                <w:spacing w:val="0"/>
                <w:kern w:val="0"/>
                <w:sz w:val="20"/>
                <w:szCs w:val="20"/>
                <w:lang w:val="en-US" w:eastAsia="zh-CN" w:bidi="ar"/>
              </w:rPr>
              <w:t>南侧，总面积约466亩，容积率1.2，总建面估算约37.3万方（只含地上建筑面积），成交价76万元/亩，楼面地价951元/㎡。随着点军区域配套不断完善，江南区位价值将逐步提升，滨江居住区的置业抗性将逐步弱化，碧桂园的入驻有望加速购房者对该区域的认可。</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湖北宜化集团有限责任公司竞得伍家岗城东大道与东风路交汇处【宜土网挂（2014）49号】地块，面积约193.5亩，容积率2.52，总建面估算约32.5万方。成交价227万元/亩，楼面地价1353元/㎡。</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3、2013年1月—2014年7月土地市场成交走势</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今年土地成交面积在春节之后一直下跌，但进入6月份后开始反弹，本月保持着上升的良好势头，环比增加1.7倍；成交价格方面，至今年3月开始呈现震荡起伏的曲线，表现较不稳定，然截止本月又开始上升。</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近期成交量一路上扬，住宅类用地渐渐增多，成交价格也大幅度抬头，开发商拿地热情明显上涨，土地市场呈现回暖趋势。</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土地成交面积走势</w:t>
            </w:r>
            <w:r>
              <w:rPr>
                <w:rFonts w:hint="eastAsia" w:ascii="宋体" w:hAnsi="宋体" w:eastAsia="宋体" w:cs="宋体"/>
                <w:b/>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4533900" cy="2514600"/>
                  <wp:effectExtent l="0" t="0" r="762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533900" cy="2514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土地成交价格走势</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4533900" cy="2514600"/>
                  <wp:effectExtent l="0" t="0" r="7620" b="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4533900" cy="25146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lang w:val="en-US"/>
              </w:rPr>
              <w:t>第三部分各区楼市表现</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本月新开盘项目有：</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7月13日，宜化新天地22#楼开盘；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7月20日，城中金谷17#楼开盘；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预计下月开盘项目有：</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天玺预计8月开盘；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正泰玫瑰园8月2日开盘；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宏信玫瑰城预计8月开盘；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恒大绿洲预计8月下旬开盘；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香山福久源预计8月中下旬开盘；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恒信中央公园6#楼预计8月底开盘；</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主城区其他重点项目动态：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宜化新天地开启“巴西风情烧烤节”；</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天玺举办“《美国奇幻魔法学校》2014大型美国英语互动魔术剧”；</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山水华庭携手三峡商报举办“消夏纳凉晚会”；</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锦绣星城“锦绣双城感恩季”活动。</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lang w:val="en-US"/>
              </w:rPr>
              <w:t>一、西陵区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1、区内主要楼盘动态</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5143500"/>
                  <wp:effectExtent l="0" t="0" r="0" b="762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334000" cy="5143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◎项目名称：天玺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□地理位置：西陵二路与体育场路交会处</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□开发商：湖北华祥投资发展有限公司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□项目定位：城心龙脉•半山墅区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□主广告语：俯视一座城市的仰望/270度俯瞰一城美景</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□开发规模：总占地9.8万方，总建面36万方，容积率2.29，绿化率40%，建筑密度为25%，分三期开发。</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□规划要点：由14栋高层和31栋联排别墅组合而成。</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□主力户型： A户型  3×2×2  138.00㎡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B户型  3×2×2  123.00㎡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C户型  2×2×1  87.00㎡</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4800600" cy="1333500"/>
                  <wp:effectExtent l="0" t="0" r="0" b="7620"/>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4800600" cy="13335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项目动态：26、27#楼认筹中，认筹1万抵3万，且享每日送200元置业金的优惠，预计8月份开盘。其样板区已经开放，28、29#楼尾盘在售，均价7550元/㎡。近期举办了《美国奇幻魔法学校》2014大型美国英语互动魔术剧。</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□项目点评：地处老城核心，周边生活配套成熟，交通便捷。住宅定位高端，营销活动新颖有档次；但403周边老旧环境影响项目形象。</w:t>
            </w:r>
          </w:p>
          <w:p>
            <w:pPr>
              <w:pStyle w:val="3"/>
              <w:keepNext w:val="0"/>
              <w:keepLines w:val="0"/>
              <w:widowControl/>
              <w:suppressLineNumbers w:val="0"/>
              <w:spacing w:line="24" w:lineRule="atLeast"/>
              <w:jc w:val="left"/>
            </w:pPr>
            <w:bookmarkStart w:id="23" w:name="_Toc389951428"/>
            <w:r>
              <w:rPr>
                <w:rFonts w:hint="eastAsia" w:ascii="宋体" w:hAnsi="宋体" w:eastAsia="宋体" w:cs="宋体"/>
                <w:caps w:val="0"/>
                <w:spacing w:val="0"/>
                <w:sz w:val="20"/>
                <w:szCs w:val="20"/>
                <w:lang w:val="en-US"/>
              </w:rPr>
              <w:t>二</w:t>
            </w:r>
            <w:bookmarkEnd w:id="23"/>
            <w:r>
              <w:rPr>
                <w:rFonts w:hint="eastAsia" w:ascii="宋体" w:hAnsi="宋体" w:eastAsia="宋体" w:cs="宋体"/>
                <w:caps w:val="0"/>
                <w:spacing w:val="0"/>
                <w:sz w:val="20"/>
                <w:szCs w:val="20"/>
                <w:lang w:val="en-US"/>
              </w:rPr>
              <w:t>、伍家区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1、区内主要楼盘动态</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5495925"/>
                  <wp:effectExtent l="0" t="0" r="0" b="571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5334000" cy="5495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项目名称：宜化·新天地</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地理位置：伍家岗东艳路；</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开 发 商：宜昌宜景房地产开发有限公司；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开发规模：项目总建筑面积约68万平方米，容积率仅为2.5，绿化率高达36%，总户数 4384户。</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规划要点：分四期开发建设，一、二、四期为高层，三期为花园洋房；</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形象定位：68万方世界级居住综合体；</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户型产品：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A 2×2×2  115㎡  占比50%             B 2×2×1   94㎡ 占比50%</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2076450" cy="2143125"/>
                  <wp:effectExtent l="0" t="0" r="11430" b="5715"/>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6"/>
                          <a:stretch>
                            <a:fillRect/>
                          </a:stretch>
                        </pic:blipFill>
                        <pic:spPr>
                          <a:xfrm>
                            <a:off x="0" y="0"/>
                            <a:ext cx="2076450" cy="2143125"/>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114550" cy="2133600"/>
                  <wp:effectExtent l="0" t="0" r="3810" b="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7"/>
                          <a:stretch>
                            <a:fillRect/>
                          </a:stretch>
                        </pic:blipFill>
                        <pic:spPr>
                          <a:xfrm>
                            <a:off x="0" y="0"/>
                            <a:ext cx="2114550" cy="213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A户型                         B户型</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项目动态：二期少量房源在售；三期22#于7月13日开盘，均价5600元/㎡，享认筹优惠及99折，抽取华东五市游，已去化逾4成。目前购房仍可享受1万抵3万再按揭99折，另有周年庆再减2万，折后均价约5300元/㎡。</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项目点评：68万方综合体，自身配套较齐全。近期大幅优惠以价换量，销售领跑城东，效果明显。</w:t>
            </w:r>
            <w:bookmarkStart w:id="24" w:name="_Toc389951429"/>
            <w:bookmarkEnd w:id="24"/>
            <w:bookmarkStart w:id="25" w:name="_Toc384797627"/>
            <w:bookmarkEnd w:id="25"/>
            <w:bookmarkStart w:id="26" w:name="_Toc384797311"/>
            <w:bookmarkEnd w:id="26"/>
            <w:bookmarkStart w:id="27" w:name="_Toc384797229"/>
            <w:bookmarkEnd w:id="27"/>
            <w:bookmarkStart w:id="28" w:name="_Toc384796970"/>
            <w:bookmarkEnd w:id="28"/>
            <w:bookmarkStart w:id="29" w:name="_Toc380050043"/>
            <w:bookmarkEnd w:id="29"/>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lang w:val="en-US"/>
              </w:rPr>
              <w:t>    三、开发区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334000" cy="5734050"/>
                  <wp:effectExtent l="0" t="0" r="0" b="1143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8"/>
                          <a:stretch>
                            <a:fillRect/>
                          </a:stretch>
                        </pic:blipFill>
                        <pic:spPr>
                          <a:xfrm>
                            <a:off x="0" y="0"/>
                            <a:ext cx="5334000" cy="5734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项目名称：恒信·中央公园</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地理位置：发展大道与汉宜高速公路交汇处；</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开 发 商：湖北恒信德龙实业有限公司；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开发规模：占地5.5万㎡，总建面22万㎡。A区为办公、商业，总建面7.7万㎡，容积率5.5；B区为住宅，总建面14.3万㎡，容积率3.5，建筑密度17.2%，绿地率40%，总户数1468户。</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规划要点：包括花园洋房、高层、酒店、写字楼、汽车展示厅等，并规划以欧陆台地园林为设计雏形，打造宜昌首个公园主题社区；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形象定位：城市中轴·大城中央；</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主力户型： 8A  2×2×1（可蝶变）   98.6㎡  50%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8B  2×2×1 （可蝶变）  93.2㎡  50%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371725" cy="2124075"/>
                  <wp:effectExtent l="0" t="0" r="5715"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2371725" cy="2124075"/>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314575" cy="2152650"/>
                  <wp:effectExtent l="0" t="0" r="1905" b="11430"/>
                  <wp:docPr id="3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IMG_272"/>
                          <pic:cNvPicPr>
                            <a:picLocks noChangeAspect="1"/>
                          </pic:cNvPicPr>
                        </pic:nvPicPr>
                        <pic:blipFill>
                          <a:blip r:embed="rId20"/>
                          <a:stretch>
                            <a:fillRect/>
                          </a:stretch>
                        </pic:blipFill>
                        <pic:spPr>
                          <a:xfrm>
                            <a:off x="0" y="0"/>
                            <a:ext cx="2314575" cy="2152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项目动态：8#楼在售，均价5900元/㎡，目前备案率为50%；6#楼认筹5千享开盘88折，预计8月底开盘。购买三房户型首付5万6起。</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项目点评：位于三峡高速附近，交通便捷；但是周边配套欠佳及自身配套不足，且高速附近交通环境复杂，存在安全隐患。</w:t>
            </w:r>
          </w:p>
          <w:p>
            <w:pPr>
              <w:pStyle w:val="3"/>
              <w:keepNext w:val="0"/>
              <w:keepLines w:val="0"/>
              <w:widowControl/>
              <w:suppressLineNumbers w:val="0"/>
              <w:spacing w:line="24" w:lineRule="atLeast"/>
              <w:jc w:val="left"/>
            </w:pPr>
            <w:r>
              <w:rPr>
                <w:caps w:val="0"/>
                <w:spacing w:val="0"/>
                <w:lang w:val="en-US"/>
              </w:rPr>
              <w:t>    </w:t>
            </w:r>
            <w:bookmarkStart w:id="30" w:name="_Toc389951430"/>
            <w:r>
              <w:rPr>
                <w:rFonts w:hint="eastAsia" w:ascii="宋体" w:hAnsi="宋体" w:eastAsia="宋体" w:cs="宋体"/>
                <w:caps w:val="0"/>
                <w:spacing w:val="0"/>
                <w:sz w:val="20"/>
                <w:szCs w:val="20"/>
                <w:lang w:val="en-US"/>
              </w:rPr>
              <w:t>四、夷陵区</w:t>
            </w:r>
            <w:bookmarkEnd w:id="30"/>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5334000" cy="5019675"/>
                  <wp:effectExtent l="0" t="0" r="0" b="9525"/>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21"/>
                          <a:stretch>
                            <a:fillRect/>
                          </a:stretch>
                        </pic:blipFill>
                        <pic:spPr>
                          <a:xfrm>
                            <a:off x="0" y="0"/>
                            <a:ext cx="5334000" cy="50196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项目名称：清江润城·悦邸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地理位置：夷陵区发展大道99号</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开 发 商：宜昌清能置业有限责任公司</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开发规模：总用地面积约385.61亩，容积率2.6，总建筑面积约65万平米，绿化率为48.3%，建筑密度20.05% ，约5588户，居住近2万人。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规划要点：中高端产品为主，包括叠拼</w:t>
            </w:r>
            <w:r>
              <w:rPr>
                <w:rFonts w:hint="eastAsia" w:ascii="宋体" w:hAnsi="宋体" w:eastAsia="宋体" w:cs="宋体"/>
                <w:b/>
                <w:caps w:val="0"/>
                <w:color w:val="000000"/>
                <w:spacing w:val="0"/>
                <w:kern w:val="0"/>
                <w:sz w:val="14"/>
                <w:szCs w:val="14"/>
                <w:u w:val="none"/>
                <w:lang w:val="en-US" w:eastAsia="zh-CN" w:bidi="ar"/>
              </w:rPr>
              <w:fldChar w:fldCharType="begin"/>
            </w:r>
            <w:r>
              <w:rPr>
                <w:rFonts w:hint="eastAsia" w:ascii="宋体" w:hAnsi="宋体" w:eastAsia="宋体" w:cs="宋体"/>
                <w:b/>
                <w:caps w:val="0"/>
                <w:color w:val="000000"/>
                <w:spacing w:val="0"/>
                <w:kern w:val="0"/>
                <w:sz w:val="14"/>
                <w:szCs w:val="14"/>
                <w:u w:val="none"/>
                <w:lang w:val="en-US" w:eastAsia="zh-CN" w:bidi="ar"/>
              </w:rPr>
              <w:instrText xml:space="preserve"> HYPERLINK "http://bj.house.sina.com.cn/villa/" \t "http://www.zbxydc.com/_blank" </w:instrText>
            </w:r>
            <w:r>
              <w:rPr>
                <w:rFonts w:hint="eastAsia" w:ascii="宋体" w:hAnsi="宋体" w:eastAsia="宋体" w:cs="宋体"/>
                <w:b/>
                <w:caps w:val="0"/>
                <w:color w:val="000000"/>
                <w:spacing w:val="0"/>
                <w:kern w:val="0"/>
                <w:sz w:val="14"/>
                <w:szCs w:val="14"/>
                <w:u w:val="none"/>
                <w:lang w:val="en-US" w:eastAsia="zh-CN" w:bidi="ar"/>
              </w:rPr>
              <w:fldChar w:fldCharType="separate"/>
            </w:r>
            <w:r>
              <w:rPr>
                <w:rStyle w:val="7"/>
                <w:rFonts w:hint="eastAsia" w:ascii="宋体" w:hAnsi="宋体" w:eastAsia="宋体" w:cs="宋体"/>
                <w:b/>
                <w:caps w:val="0"/>
                <w:color w:val="000000"/>
                <w:spacing w:val="0"/>
                <w:sz w:val="14"/>
                <w:szCs w:val="14"/>
                <w:u w:val="none"/>
                <w:lang w:val="en-US"/>
              </w:rPr>
              <w:t>别墅</w:t>
            </w:r>
            <w:r>
              <w:rPr>
                <w:rFonts w:hint="eastAsia" w:ascii="宋体" w:hAnsi="宋体" w:eastAsia="宋体" w:cs="宋体"/>
                <w:b/>
                <w:caps w:val="0"/>
                <w:color w:val="000000"/>
                <w:spacing w:val="0"/>
                <w:kern w:val="0"/>
                <w:sz w:val="14"/>
                <w:szCs w:val="14"/>
                <w:u w:val="none"/>
                <w:lang w:val="en-US" w:eastAsia="zh-CN" w:bidi="ar"/>
              </w:rPr>
              <w:fldChar w:fldCharType="end"/>
            </w:r>
            <w:r>
              <w:rPr>
                <w:rFonts w:hint="eastAsia" w:ascii="宋体" w:hAnsi="宋体" w:eastAsia="宋体" w:cs="宋体"/>
                <w:b/>
                <w:caps w:val="0"/>
                <w:spacing w:val="0"/>
                <w:kern w:val="0"/>
                <w:sz w:val="14"/>
                <w:szCs w:val="14"/>
                <w:lang w:val="en-US" w:eastAsia="zh-CN" w:bidi="ar"/>
              </w:rPr>
              <w:t>、多层洋房、空中复式、高层住宅等，社区规划生活配套设施齐全。项目共四期，现开发的为四期。</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形象定位：经典原著欧式风情社区；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 主力户型：（55#楼） C2户型  3×2×1  106.92㎡   占比50%；</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14"/>
                <w:szCs w:val="14"/>
                <w:lang w:val="en-US" w:eastAsia="zh-CN" w:bidi="ar"/>
              </w:rPr>
              <w:t>     C3户型  3×2×2  132.85㎡   占比50%；</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1895475" cy="1952625"/>
                  <wp:effectExtent l="0" t="0" r="9525" b="13335"/>
                  <wp:docPr id="2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74"/>
                          <pic:cNvPicPr>
                            <a:picLocks noChangeAspect="1"/>
                          </pic:cNvPicPr>
                        </pic:nvPicPr>
                        <pic:blipFill>
                          <a:blip r:embed="rId22"/>
                          <a:stretch>
                            <a:fillRect/>
                          </a:stretch>
                        </pic:blipFill>
                        <pic:spPr>
                          <a:xfrm>
                            <a:off x="0" y="0"/>
                            <a:ext cx="1895475" cy="1952625"/>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2266950" cy="1905000"/>
                  <wp:effectExtent l="0" t="0" r="3810" b="0"/>
                  <wp:docPr id="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75"/>
                          <pic:cNvPicPr>
                            <a:picLocks noChangeAspect="1"/>
                          </pic:cNvPicPr>
                        </pic:nvPicPr>
                        <pic:blipFill>
                          <a:blip r:embed="rId23"/>
                          <a:stretch>
                            <a:fillRect/>
                          </a:stretch>
                        </pic:blipFill>
                        <pic:spPr>
                          <a:xfrm>
                            <a:off x="0" y="0"/>
                            <a:ext cx="2266950" cy="1905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C2户型                                              C3户型</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项目动态：55#楼在售中，均价5000元/㎡，购房即享1万抵3万的优惠，成功认购还可获赠价值千元青花瓷一 套，近期其月均成交量有所增加。</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 项目点评：项目拥有雄厚的国企背景，悦邸是继前三期后的升级产品，不论是配套还是附加值都有了一定提升。</w:t>
            </w:r>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lang w:val="en-US"/>
              </w:rPr>
              <w:t>    五、猇亭区</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区内主要在售楼盘动态：</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067300" cy="1933575"/>
                  <wp:effectExtent l="0" t="0" r="7620" b="1905"/>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4"/>
                          <a:stretch>
                            <a:fillRect/>
                          </a:stretch>
                        </pic:blipFill>
                        <pic:spPr>
                          <a:xfrm>
                            <a:off x="0" y="0"/>
                            <a:ext cx="5067300" cy="1933575"/>
                          </a:xfrm>
                          <a:prstGeom prst="rect">
                            <a:avLst/>
                          </a:prstGeom>
                          <a:noFill/>
                          <a:ln w="9525">
                            <a:noFill/>
                          </a:ln>
                        </pic:spPr>
                      </pic:pic>
                    </a:graphicData>
                  </a:graphic>
                </wp:inline>
              </w:drawing>
            </w:r>
          </w:p>
          <w:p>
            <w:pPr>
              <w:pStyle w:val="3"/>
              <w:keepNext w:val="0"/>
              <w:keepLines w:val="0"/>
              <w:widowControl/>
              <w:suppressLineNumbers w:val="0"/>
              <w:spacing w:line="24" w:lineRule="atLeast"/>
              <w:jc w:val="left"/>
            </w:pPr>
            <w:bookmarkStart w:id="31" w:name="_Toc389951432"/>
            <w:bookmarkEnd w:id="31"/>
            <w:bookmarkStart w:id="32" w:name="_Toc384797630"/>
            <w:bookmarkEnd w:id="32"/>
            <w:bookmarkStart w:id="33" w:name="_Toc384797314"/>
            <w:bookmarkEnd w:id="33"/>
            <w:bookmarkStart w:id="34" w:name="_Toc384797232"/>
            <w:bookmarkEnd w:id="34"/>
            <w:bookmarkStart w:id="35" w:name="_Toc384796973"/>
            <w:bookmarkEnd w:id="35"/>
            <w:r>
              <w:rPr>
                <w:caps w:val="0"/>
                <w:spacing w:val="0"/>
                <w:lang w:val="en-US"/>
              </w:rPr>
              <w:t>   </w:t>
            </w:r>
            <w:bookmarkStart w:id="36" w:name="_Toc380050046"/>
            <w:r>
              <w:rPr>
                <w:rFonts w:hint="eastAsia" w:ascii="宋体" w:hAnsi="宋体" w:eastAsia="宋体" w:cs="宋体"/>
                <w:caps w:val="0"/>
                <w:spacing w:val="0"/>
                <w:sz w:val="20"/>
                <w:szCs w:val="20"/>
                <w:lang w:val="en-US"/>
              </w:rPr>
              <w:t>六、点军区</w:t>
            </w:r>
            <w:bookmarkEnd w:id="36"/>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w:t>
            </w:r>
            <w:bookmarkStart w:id="37" w:name="_Toc384797315"/>
            <w:r>
              <w:rPr>
                <w:rFonts w:hint="eastAsia" w:ascii="宋体" w:hAnsi="宋体" w:eastAsia="宋体" w:cs="宋体"/>
                <w:b/>
                <w:caps w:val="0"/>
                <w:spacing w:val="0"/>
                <w:kern w:val="0"/>
                <w:sz w:val="20"/>
                <w:szCs w:val="20"/>
                <w:lang w:val="en-US" w:eastAsia="zh-CN" w:bidi="ar"/>
              </w:rPr>
              <w:t>区内主要在售楼盘动态：</w:t>
            </w:r>
            <w:bookmarkEnd w:id="37"/>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067300" cy="2324100"/>
                  <wp:effectExtent l="0" t="0" r="7620" b="7620"/>
                  <wp:docPr id="2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77"/>
                          <pic:cNvPicPr>
                            <a:picLocks noChangeAspect="1"/>
                          </pic:cNvPicPr>
                        </pic:nvPicPr>
                        <pic:blipFill>
                          <a:blip r:embed="rId25"/>
                          <a:stretch>
                            <a:fillRect/>
                          </a:stretch>
                        </pic:blipFill>
                        <pic:spPr>
                          <a:xfrm>
                            <a:off x="0" y="0"/>
                            <a:ext cx="5067300" cy="23241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lang w:val="en-US"/>
              </w:rPr>
              <w:t>第四部分媒体监测</w:t>
            </w:r>
          </w:p>
          <w:p>
            <w:pPr>
              <w:pStyle w:val="3"/>
              <w:keepNext w:val="0"/>
              <w:keepLines w:val="0"/>
              <w:widowControl/>
              <w:suppressLineNumbers w:val="0"/>
              <w:spacing w:line="24" w:lineRule="atLeast"/>
              <w:jc w:val="left"/>
            </w:pPr>
            <w:bookmarkStart w:id="38" w:name="_Toc389951434"/>
            <w:bookmarkEnd w:id="38"/>
            <w:bookmarkStart w:id="39" w:name="_Toc380050048"/>
            <w:bookmarkEnd w:id="39"/>
            <w:bookmarkStart w:id="40" w:name="_Toc353178142"/>
            <w:bookmarkEnd w:id="40"/>
            <w:bookmarkStart w:id="41" w:name="_Toc347757555"/>
            <w:bookmarkEnd w:id="41"/>
            <w:r>
              <w:rPr>
                <w:caps w:val="0"/>
                <w:spacing w:val="0"/>
                <w:lang w:val="en-US"/>
              </w:rPr>
              <w:t>    </w:t>
            </w:r>
            <w:bookmarkStart w:id="42" w:name="_Toc345167239"/>
            <w:r>
              <w:rPr>
                <w:rFonts w:hint="eastAsia" w:ascii="宋体" w:hAnsi="宋体" w:eastAsia="宋体" w:cs="宋体"/>
                <w:caps w:val="0"/>
                <w:spacing w:val="0"/>
                <w:sz w:val="20"/>
                <w:szCs w:val="20"/>
                <w:lang w:val="en-US"/>
              </w:rPr>
              <w:t>一、纸媒投放情况</w:t>
            </w:r>
            <w:bookmarkEnd w:id="42"/>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本月截止到31日，共有25个地产项目投放报纸广告，共计117篇。本月广告投放量较大的主要有宜化新天地、恒大帝景、月星国际城、恒大绿洲、山水华庭、天玺等楼盘。</w:t>
            </w:r>
          </w:p>
          <w:p>
            <w:pPr>
              <w:pStyle w:val="3"/>
              <w:keepNext w:val="0"/>
              <w:keepLines w:val="0"/>
              <w:widowControl/>
              <w:suppressLineNumbers w:val="0"/>
              <w:spacing w:line="24" w:lineRule="atLeast"/>
              <w:jc w:val="left"/>
            </w:pPr>
            <w:bookmarkStart w:id="43" w:name="_Toc389951435"/>
            <w:bookmarkEnd w:id="43"/>
            <w:bookmarkStart w:id="44" w:name="_Toc380050049"/>
            <w:bookmarkEnd w:id="44"/>
            <w:bookmarkStart w:id="45" w:name="_Toc353178143"/>
            <w:bookmarkEnd w:id="45"/>
            <w:bookmarkStart w:id="46" w:name="_Toc347757556"/>
            <w:bookmarkEnd w:id="46"/>
            <w:r>
              <w:rPr>
                <w:rFonts w:hint="eastAsia" w:ascii="宋体" w:hAnsi="宋体" w:eastAsia="宋体" w:cs="宋体"/>
                <w:caps w:val="0"/>
                <w:spacing w:val="0"/>
                <w:sz w:val="20"/>
                <w:szCs w:val="20"/>
                <w:lang w:val="en-US"/>
              </w:rPr>
              <w:t>   </w:t>
            </w:r>
            <w:bookmarkStart w:id="47" w:name="_Toc345167240"/>
            <w:r>
              <w:rPr>
                <w:rFonts w:hint="eastAsia" w:ascii="宋体" w:hAnsi="宋体" w:eastAsia="宋体" w:cs="宋体"/>
                <w:caps w:val="0"/>
                <w:spacing w:val="0"/>
                <w:sz w:val="20"/>
                <w:szCs w:val="20"/>
                <w:lang w:val="en-US"/>
              </w:rPr>
              <w:t>二、纸媒投放数据监测</w:t>
            </w:r>
            <w:bookmarkEnd w:id="47"/>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1、报广投放时间段分析</w:t>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t>                                                                             本月投放量统计</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14"/>
                <w:szCs w:val="14"/>
                <w:lang w:val="en-US" w:eastAsia="zh-CN" w:bidi="ar"/>
              </w:rPr>
              <w:drawing>
                <wp:inline distT="0" distB="0" distL="114300" distR="114300">
                  <wp:extent cx="5067300" cy="1781175"/>
                  <wp:effectExtent l="0" t="0" r="7620" b="1905"/>
                  <wp:docPr id="1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78"/>
                          <pic:cNvPicPr>
                            <a:picLocks noChangeAspect="1"/>
                          </pic:cNvPicPr>
                        </pic:nvPicPr>
                        <pic:blipFill>
                          <a:blip r:embed="rId26"/>
                          <a:stretch>
                            <a:fillRect/>
                          </a:stretch>
                        </pic:blipFill>
                        <pic:spPr>
                          <a:xfrm>
                            <a:off x="0" y="0"/>
                            <a:ext cx="5067300" cy="17811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14"/>
                <w:szCs w:val="14"/>
                <w:lang w:val="en-US"/>
              </w:rPr>
            </w:pPr>
            <w:r>
              <w:rPr>
                <w:rFonts w:hint="eastAsia" w:ascii="宋体" w:hAnsi="宋体" w:eastAsia="宋体" w:cs="宋体"/>
                <w:b/>
                <w:caps w:val="0"/>
                <w:spacing w:val="0"/>
                <w:kern w:val="0"/>
                <w:sz w:val="20"/>
                <w:szCs w:val="20"/>
                <w:lang w:val="en-US" w:eastAsia="zh-CN" w:bidi="ar"/>
              </w:rPr>
              <w:t>    本月报广投放量从时间上来看，主要集中在4日、11日、18日、25日、31日这5个时间点，主要集中在周五。其中18日投放量达到巅峰，共计15篇，主要是18日做活动的项目较多。</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lang w:val="en-US" w:eastAsia="zh-CN" w:bidi="ar"/>
              </w:rPr>
              <w:t>    2、投放媒体及版面分析</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lang w:val="en-US" w:eastAsia="zh-CN" w:bidi="ar"/>
              </w:rPr>
              <w:drawing>
                <wp:inline distT="0" distB="0" distL="114300" distR="114300">
                  <wp:extent cx="5067300" cy="1771650"/>
                  <wp:effectExtent l="0" t="0" r="7620" b="11430"/>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27"/>
                          <a:stretch>
                            <a:fillRect/>
                          </a:stretch>
                        </pic:blipFill>
                        <pic:spPr>
                          <a:xfrm>
                            <a:off x="0" y="0"/>
                            <a:ext cx="5067300" cy="1771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lang w:val="en-US" w:eastAsia="zh-CN" w:bidi="ar"/>
              </w:rPr>
              <w:t>     </w:t>
            </w:r>
            <w:r>
              <w:rPr>
                <w:rFonts w:hint="eastAsia" w:ascii="宋体" w:hAnsi="宋体" w:eastAsia="宋体" w:cs="宋体"/>
                <w:b/>
                <w:caps w:val="0"/>
                <w:spacing w:val="0"/>
                <w:kern w:val="0"/>
                <w:sz w:val="20"/>
                <w:szCs w:val="20"/>
                <w:lang w:val="en-US" w:eastAsia="zh-CN" w:bidi="ar"/>
              </w:rPr>
              <w:t> 本月三峡晚报与商报投放量并列第一，均为共46篇，都占纸媒总投放量的39%。三峡日报次之，共26篇，占纸媒总投放量的22%。投放版面主要集中在半版，其占比为44%，投放广告较多的楼盘主要有恒大帝景、恒大绿洲等；整版投放量占比22%，报眼及条幅投放占比33%。</w:t>
            </w:r>
          </w:p>
          <w:p>
            <w:pPr>
              <w:keepNext w:val="0"/>
              <w:keepLines w:val="0"/>
              <w:widowControl/>
              <w:suppressLineNumbers w:val="0"/>
              <w:spacing w:line="24" w:lineRule="atLeast"/>
              <w:ind w:left="0" w:firstLine="0"/>
              <w:jc w:val="left"/>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lang w:val="en-US" w:eastAsia="zh-CN" w:bidi="ar"/>
              </w:rPr>
              <w:t>     3、项目投放量分析</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lang w:val="en-US" w:eastAsia="zh-CN" w:bidi="ar"/>
              </w:rPr>
              <w:t>    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lang w:val="en-US" w:eastAsia="zh-CN" w:bidi="ar"/>
              </w:rPr>
              <w:drawing>
                <wp:inline distT="0" distB="0" distL="114300" distR="114300">
                  <wp:extent cx="5067300" cy="2209800"/>
                  <wp:effectExtent l="0" t="0" r="7620" b="0"/>
                  <wp:docPr id="1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80"/>
                          <pic:cNvPicPr>
                            <a:picLocks noChangeAspect="1"/>
                          </pic:cNvPicPr>
                        </pic:nvPicPr>
                        <pic:blipFill>
                          <a:blip r:embed="rId28"/>
                          <a:stretch>
                            <a:fillRect/>
                          </a:stretch>
                        </pic:blipFill>
                        <pic:spPr>
                          <a:xfrm>
                            <a:off x="0" y="0"/>
                            <a:ext cx="5067300" cy="2209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0"/>
                <w:szCs w:val="20"/>
                <w:lang w:val="en-US" w:eastAsia="zh-CN" w:bidi="ar"/>
              </w:rPr>
              <w:t>纸媒投放TOP 1、2、3：宜化新天地、金鸾名苑、恒大帝景</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28"/>
                <w:szCs w:val="28"/>
                <w:lang w:val="en-US"/>
              </w:rPr>
            </w:pPr>
            <w:r>
              <w:rPr>
                <w:rFonts w:hint="eastAsia" w:ascii="宋体" w:hAnsi="宋体" w:eastAsia="宋体" w:cs="宋体"/>
                <w:b/>
                <w:caps w:val="0"/>
                <w:spacing w:val="0"/>
                <w:kern w:val="0"/>
                <w:sz w:val="28"/>
                <w:szCs w:val="28"/>
                <w:lang w:val="en-US" w:eastAsia="zh-CN" w:bidi="ar"/>
              </w:rPr>
              <w:drawing>
                <wp:inline distT="0" distB="0" distL="114300" distR="114300">
                  <wp:extent cx="2400300" cy="1647825"/>
                  <wp:effectExtent l="0" t="0" r="7620" b="13335"/>
                  <wp:docPr id="2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IMG_281"/>
                          <pic:cNvPicPr>
                            <a:picLocks noChangeAspect="1"/>
                          </pic:cNvPicPr>
                        </pic:nvPicPr>
                        <pic:blipFill>
                          <a:blip r:embed="rId29"/>
                          <a:stretch>
                            <a:fillRect/>
                          </a:stretch>
                        </pic:blipFill>
                        <pic:spPr>
                          <a:xfrm>
                            <a:off x="0" y="0"/>
                            <a:ext cx="2400300" cy="1647825"/>
                          </a:xfrm>
                          <a:prstGeom prst="rect">
                            <a:avLst/>
                          </a:prstGeom>
                          <a:noFill/>
                          <a:ln w="9525">
                            <a:noFill/>
                          </a:ln>
                        </pic:spPr>
                      </pic:pic>
                    </a:graphicData>
                  </a:graphic>
                </wp:inline>
              </w:drawing>
            </w:r>
            <w:r>
              <w:rPr>
                <w:rFonts w:hint="eastAsia" w:ascii="宋体" w:hAnsi="宋体" w:eastAsia="宋体" w:cs="宋体"/>
                <w:b/>
                <w:caps w:val="0"/>
                <w:spacing w:val="0"/>
                <w:kern w:val="0"/>
                <w:sz w:val="28"/>
                <w:szCs w:val="28"/>
                <w:lang w:val="en-US" w:eastAsia="zh-CN" w:bidi="ar"/>
              </w:rPr>
              <w:drawing>
                <wp:inline distT="0" distB="0" distL="114300" distR="114300">
                  <wp:extent cx="2343150" cy="1647825"/>
                  <wp:effectExtent l="0" t="0" r="3810" b="13335"/>
                  <wp:docPr id="3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82"/>
                          <pic:cNvPicPr>
                            <a:picLocks noChangeAspect="1"/>
                          </pic:cNvPicPr>
                        </pic:nvPicPr>
                        <pic:blipFill>
                          <a:blip r:embed="rId30"/>
                          <a:stretch>
                            <a:fillRect/>
                          </a:stretch>
                        </pic:blipFill>
                        <pic:spPr>
                          <a:xfrm>
                            <a:off x="0" y="0"/>
                            <a:ext cx="2343150" cy="16478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本月宜化新天地共投放报广26篇，条幅居多，为22#楼认筹做宣传。金鸾名苑共计投放报广12篇，全为条幅，主要是3、4#楼认筹信息；恒大帝景共投放报广11篇，全为半版，都是强销期低首付优惠活动宣传。</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纸媒投放TOP 4、5、6：月星国际城、宜昌恒大绿洲、山水华庭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14"/>
                <w:szCs w:val="14"/>
                <w:lang w:val="en-US" w:eastAsia="zh-CN" w:bidi="ar"/>
              </w:rPr>
              <w:drawing>
                <wp:inline distT="0" distB="0" distL="114300" distR="114300">
                  <wp:extent cx="1057275" cy="1466850"/>
                  <wp:effectExtent l="0" t="0" r="9525" b="11430"/>
                  <wp:docPr id="1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IMG_283"/>
                          <pic:cNvPicPr>
                            <a:picLocks noChangeAspect="1"/>
                          </pic:cNvPicPr>
                        </pic:nvPicPr>
                        <pic:blipFill>
                          <a:blip r:embed="rId31"/>
                          <a:stretch>
                            <a:fillRect/>
                          </a:stretch>
                        </pic:blipFill>
                        <pic:spPr>
                          <a:xfrm>
                            <a:off x="0" y="0"/>
                            <a:ext cx="1057275" cy="14668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114550" cy="1466850"/>
                  <wp:effectExtent l="0" t="0" r="3810" b="11430"/>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32"/>
                          <a:stretch>
                            <a:fillRect/>
                          </a:stretch>
                        </pic:blipFill>
                        <pic:spPr>
                          <a:xfrm>
                            <a:off x="0" y="0"/>
                            <a:ext cx="2114550" cy="146685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143125" cy="1466850"/>
                  <wp:effectExtent l="0" t="0" r="5715" b="11430"/>
                  <wp:docPr id="2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85"/>
                          <pic:cNvPicPr>
                            <a:picLocks noChangeAspect="1"/>
                          </pic:cNvPicPr>
                        </pic:nvPicPr>
                        <pic:blipFill>
                          <a:blip r:embed="rId33"/>
                          <a:stretch>
                            <a:fillRect/>
                          </a:stretch>
                        </pic:blipFill>
                        <pic:spPr>
                          <a:xfrm>
                            <a:off x="0" y="0"/>
                            <a:ext cx="21431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本月月星国际城共计投放报广9篇，大多为整版，主要是形象宣传与商铺认筹信息释放。恒大绿洲共计投放报广9篇，都是半版，主要释放低首付优惠信息。山水华庭共计投 </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0"/>
                <w:szCs w:val="20"/>
                <w:lang w:val="en-US" w:eastAsia="zh-CN" w:bidi="ar"/>
              </w:rPr>
              <w:t>放报广10篇，全为整版投放，皆是“与三峡商报携手举办消夏纳凉晚会”活动。</w:t>
            </w:r>
          </w:p>
          <w:p>
            <w:pPr>
              <w:pStyle w:val="3"/>
              <w:keepNext w:val="0"/>
              <w:keepLines w:val="0"/>
              <w:widowControl/>
              <w:suppressLineNumbers w:val="0"/>
              <w:spacing w:line="24" w:lineRule="atLeast"/>
            </w:pPr>
            <w:r>
              <w:rPr>
                <w:caps w:val="0"/>
                <w:spacing w:val="0"/>
                <w:sz w:val="20"/>
                <w:szCs w:val="20"/>
              </w:rPr>
              <w:t>   三、网络媒体监测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8" w:name="_Toc380050051"/>
            <w:r>
              <w:rPr>
                <w:rFonts w:hint="eastAsia" w:ascii="宋体" w:hAnsi="宋体" w:eastAsia="宋体" w:cs="宋体"/>
                <w:b/>
                <w:caps w:val="0"/>
                <w:spacing w:val="0"/>
                <w:kern w:val="0"/>
                <w:sz w:val="20"/>
                <w:szCs w:val="20"/>
                <w:lang w:val="en-US" w:eastAsia="zh-CN" w:bidi="ar"/>
              </w:rPr>
              <w:t>1</w:t>
            </w:r>
            <w:bookmarkEnd w:id="48"/>
            <w:r>
              <w:rPr>
                <w:rFonts w:hint="eastAsia" w:ascii="宋体" w:hAnsi="宋体" w:eastAsia="宋体" w:cs="宋体"/>
                <w:b/>
                <w:caps w:val="0"/>
                <w:spacing w:val="0"/>
                <w:kern w:val="0"/>
                <w:sz w:val="20"/>
                <w:szCs w:val="20"/>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bookmarkStart w:id="49" w:name="_Toc380050052"/>
            <w:r>
              <w:rPr>
                <w:rFonts w:hint="eastAsia" w:ascii="宋体" w:hAnsi="宋体" w:eastAsia="宋体" w:cs="宋体"/>
                <w:caps w:val="0"/>
                <w:spacing w:val="0"/>
                <w:kern w:val="0"/>
                <w:sz w:val="20"/>
                <w:szCs w:val="20"/>
                <w:lang w:val="en-US" w:eastAsia="zh-CN" w:bidi="ar"/>
              </w:rPr>
              <w:t>本月在搜房网投放广告的主要有恒信中央公园、月星国际城、宜昌恒大绿洲等楼盘。</w:t>
            </w:r>
            <w:bookmarkEnd w:id="49"/>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r>
              <w:rPr>
                <w:rFonts w:hint="eastAsia" w:ascii="宋体" w:hAnsi="宋体" w:eastAsia="宋体" w:cs="宋体"/>
                <w:caps w:val="0"/>
                <w:spacing w:val="0"/>
                <w:kern w:val="0"/>
                <w:sz w:val="28"/>
                <w:szCs w:val="28"/>
                <w:lang w:val="en-US" w:eastAsia="zh-CN" w:bidi="ar"/>
              </w:rPr>
              <w:drawing>
                <wp:inline distT="0" distB="0" distL="114300" distR="114300">
                  <wp:extent cx="5067300" cy="1085850"/>
                  <wp:effectExtent l="0" t="0" r="7620" b="11430"/>
                  <wp:docPr id="2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IMG_286"/>
                          <pic:cNvPicPr>
                            <a:picLocks noChangeAspect="1"/>
                          </pic:cNvPicPr>
                        </pic:nvPicPr>
                        <pic:blipFill>
                          <a:blip r:embed="rId34"/>
                          <a:stretch>
                            <a:fillRect/>
                          </a:stretch>
                        </pic:blipFill>
                        <pic:spPr>
                          <a:xfrm>
                            <a:off x="0" y="0"/>
                            <a:ext cx="5067300" cy="1085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b/>
                <w:caps w:val="0"/>
                <w:spacing w:val="0"/>
                <w:kern w:val="0"/>
                <w:sz w:val="28"/>
                <w:szCs w:val="28"/>
                <w:lang w:val="en-US" w:eastAsia="zh-CN" w:bidi="ar"/>
              </w:rPr>
              <w:t>      2、搜狐焦点网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bookmarkStart w:id="50" w:name="_Toc380050054"/>
            <w:r>
              <w:rPr>
                <w:rFonts w:hint="eastAsia" w:ascii="宋体" w:hAnsi="宋体" w:eastAsia="宋体" w:cs="宋体"/>
                <w:caps w:val="0"/>
                <w:spacing w:val="0"/>
                <w:kern w:val="0"/>
                <w:sz w:val="28"/>
                <w:szCs w:val="28"/>
                <w:lang w:val="en-US" w:eastAsia="zh-CN" w:bidi="ar"/>
              </w:rPr>
              <w:t>本月在搜狐焦点网上投放广告的主要有宜化新天地、恒大帝景、宜昌恒大绿洲等项目。</w:t>
            </w:r>
            <w:bookmarkEnd w:id="50"/>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r>
              <w:rPr>
                <w:rFonts w:hint="eastAsia" w:ascii="宋体" w:hAnsi="宋体" w:eastAsia="宋体" w:cs="宋体"/>
                <w:caps w:val="0"/>
                <w:spacing w:val="0"/>
                <w:kern w:val="0"/>
                <w:sz w:val="28"/>
                <w:szCs w:val="28"/>
                <w:lang w:val="en-US" w:eastAsia="zh-CN" w:bidi="ar"/>
              </w:rPr>
              <w:drawing>
                <wp:inline distT="0" distB="0" distL="114300" distR="114300">
                  <wp:extent cx="5067300" cy="647700"/>
                  <wp:effectExtent l="0" t="0" r="7620" b="7620"/>
                  <wp:docPr id="2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IMG_287"/>
                          <pic:cNvPicPr>
                            <a:picLocks noChangeAspect="1"/>
                          </pic:cNvPicPr>
                        </pic:nvPicPr>
                        <pic:blipFill>
                          <a:blip r:embed="rId35"/>
                          <a:stretch>
                            <a:fillRect/>
                          </a:stretch>
                        </pic:blipFill>
                        <pic:spPr>
                          <a:xfrm>
                            <a:off x="0" y="0"/>
                            <a:ext cx="5067300" cy="647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bookmarkStart w:id="51" w:name="_Toc380050055"/>
            <w:r>
              <w:rPr>
                <w:rFonts w:hint="eastAsia" w:ascii="宋体" w:hAnsi="宋体" w:eastAsia="宋体" w:cs="宋体"/>
                <w:b/>
                <w:caps w:val="0"/>
                <w:spacing w:val="0"/>
                <w:kern w:val="0"/>
                <w:sz w:val="20"/>
                <w:szCs w:val="20"/>
                <w:lang w:val="en-US" w:eastAsia="zh-CN" w:bidi="ar"/>
              </w:rPr>
              <w:t>3</w:t>
            </w:r>
            <w:bookmarkEnd w:id="51"/>
            <w:r>
              <w:rPr>
                <w:rFonts w:hint="eastAsia" w:ascii="宋体" w:hAnsi="宋体" w:eastAsia="宋体" w:cs="宋体"/>
                <w:b/>
                <w:caps w:val="0"/>
                <w:spacing w:val="0"/>
                <w:kern w:val="0"/>
                <w:sz w:val="20"/>
                <w:szCs w:val="20"/>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bookmarkStart w:id="52" w:name="_Toc380050056"/>
            <w:r>
              <w:rPr>
                <w:rFonts w:hint="eastAsia" w:ascii="宋体" w:hAnsi="宋体" w:eastAsia="宋体" w:cs="宋体"/>
                <w:caps w:val="0"/>
                <w:spacing w:val="0"/>
                <w:kern w:val="0"/>
                <w:sz w:val="20"/>
                <w:szCs w:val="20"/>
                <w:lang w:val="en-US" w:eastAsia="zh-CN" w:bidi="ar"/>
              </w:rPr>
              <w:t>本月在大楚网上投放广告的主要有宜化新天地、恒大帝景、月星国际城、恒信中央公园等项目。</w:t>
            </w:r>
            <w:bookmarkEnd w:id="52"/>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r>
              <w:rPr>
                <w:rFonts w:hint="eastAsia" w:ascii="宋体" w:hAnsi="宋体" w:eastAsia="宋体" w:cs="宋体"/>
                <w:caps w:val="0"/>
                <w:spacing w:val="0"/>
                <w:kern w:val="0"/>
                <w:sz w:val="28"/>
                <w:szCs w:val="28"/>
                <w:lang w:val="en-US" w:eastAsia="zh-CN" w:bidi="ar"/>
              </w:rPr>
              <w:drawing>
                <wp:inline distT="0" distB="0" distL="114300" distR="114300">
                  <wp:extent cx="5067300" cy="628650"/>
                  <wp:effectExtent l="0" t="0" r="7620" b="11430"/>
                  <wp:docPr id="3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IMG_288"/>
                          <pic:cNvPicPr>
                            <a:picLocks noChangeAspect="1"/>
                          </pic:cNvPicPr>
                        </pic:nvPicPr>
                        <pic:blipFill>
                          <a:blip r:embed="rId36"/>
                          <a:stretch>
                            <a:fillRect/>
                          </a:stretch>
                        </pic:blipFill>
                        <pic:spPr>
                          <a:xfrm>
                            <a:off x="0" y="0"/>
                            <a:ext cx="5067300" cy="6286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0"/>
                <w:szCs w:val="20"/>
                <w:lang w:val="en-US" w:eastAsia="zh-CN" w:bidi="ar"/>
              </w:rPr>
              <w:t>   七月万瓦粼粼如火龙，日车不动汗珠融，虽然天气炎热，但投广量却毫不逊色六月天，活动及优惠依旧火热，面对楼市低迷现状，开发商皆积极应对。</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0"/>
                <w:szCs w:val="20"/>
                <w:lang w:val="en-US" w:eastAsia="zh-CN" w:bidi="ar"/>
              </w:rPr>
              <w:t>   最近市场比较流行的优惠手段主要为“低首付低门槛”的办法，如恒大绿洲、宜化新天地、星湖湾均做首付4万起，而天玺首付2万/3万起、恒大帝景首付10万起、宏信公园里首付5.5万起等。本月市场活动多而新颖，如：宜化新天地开启“巴西风情烧烤节”；天玺举办“《美国奇幻魔法学校》2014大型美国英语互动魔术剧”；山水华庭携手三峡商报举办“消夏纳凉晚会”；锦绣星城“锦绣双城感恩季”活动等。</w:t>
            </w:r>
          </w:p>
          <w:p>
            <w:pPr>
              <w:keepNext w:val="0"/>
              <w:keepLines w:val="0"/>
              <w:widowControl/>
              <w:suppressLineNumbers w:val="0"/>
              <w:spacing w:line="24" w:lineRule="atLeast"/>
              <w:ind w:left="0" w:firstLine="0"/>
              <w:jc w:val="left"/>
              <w:rPr>
                <w:rFonts w:hint="eastAsia" w:ascii="宋体" w:hAnsi="宋体" w:eastAsia="宋体" w:cs="宋体"/>
                <w:caps w:val="0"/>
                <w:spacing w:val="0"/>
                <w:sz w:val="28"/>
                <w:szCs w:val="28"/>
              </w:rPr>
            </w:pPr>
            <w:r>
              <w:rPr>
                <w:rFonts w:hint="eastAsia" w:ascii="宋体" w:hAnsi="宋体" w:eastAsia="宋体" w:cs="宋体"/>
                <w:caps w:val="0"/>
                <w:spacing w:val="0"/>
                <w:kern w:val="0"/>
                <w:sz w:val="28"/>
                <w:szCs w:val="28"/>
                <w:lang w:val="en-US" w:eastAsia="zh-CN" w:bidi="ar"/>
              </w:rPr>
              <w:t>          </w:t>
            </w:r>
            <w:r>
              <w:rPr>
                <w:rFonts w:hint="eastAsia" w:ascii="宋体" w:hAnsi="宋体" w:eastAsia="宋体" w:cs="宋体"/>
                <w:caps w:val="0"/>
                <w:spacing w:val="0"/>
                <w:kern w:val="0"/>
                <w:sz w:val="28"/>
                <w:szCs w:val="28"/>
                <w:lang w:val="en-US" w:eastAsia="zh-CN" w:bidi="ar"/>
              </w:rPr>
              <w:drawing>
                <wp:inline distT="0" distB="0" distL="114300" distR="114300">
                  <wp:extent cx="2085975" cy="1866900"/>
                  <wp:effectExtent l="0" t="0" r="1905" b="7620"/>
                  <wp:docPr id="3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IMG_289"/>
                          <pic:cNvPicPr>
                            <a:picLocks noChangeAspect="1"/>
                          </pic:cNvPicPr>
                        </pic:nvPicPr>
                        <pic:blipFill>
                          <a:blip r:embed="rId37"/>
                          <a:stretch>
                            <a:fillRect/>
                          </a:stretch>
                        </pic:blipFill>
                        <pic:spPr>
                          <a:xfrm>
                            <a:off x="0" y="0"/>
                            <a:ext cx="2085975" cy="1866900"/>
                          </a:xfrm>
                          <a:prstGeom prst="rect">
                            <a:avLst/>
                          </a:prstGeom>
                          <a:noFill/>
                          <a:ln w="9525">
                            <a:noFill/>
                          </a:ln>
                        </pic:spPr>
                      </pic:pic>
                    </a:graphicData>
                  </a:graphic>
                </wp:inline>
              </w:drawing>
            </w:r>
            <w:r>
              <w:rPr>
                <w:rFonts w:hint="eastAsia" w:ascii="宋体" w:hAnsi="宋体" w:eastAsia="宋体" w:cs="宋体"/>
                <w:caps w:val="0"/>
                <w:spacing w:val="0"/>
                <w:kern w:val="0"/>
                <w:sz w:val="28"/>
                <w:szCs w:val="28"/>
                <w:lang w:val="en-US" w:eastAsia="zh-CN" w:bidi="ar"/>
              </w:rPr>
              <w:drawing>
                <wp:inline distT="0" distB="0" distL="114300" distR="114300">
                  <wp:extent cx="2790825" cy="1866900"/>
                  <wp:effectExtent l="0" t="0" r="13335" b="7620"/>
                  <wp:docPr id="3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90"/>
                          <pic:cNvPicPr>
                            <a:picLocks noChangeAspect="1"/>
                          </pic:cNvPicPr>
                        </pic:nvPicPr>
                        <pic:blipFill>
                          <a:blip r:embed="rId38"/>
                          <a:stretch>
                            <a:fillRect/>
                          </a:stretch>
                        </pic:blipFill>
                        <pic:spPr>
                          <a:xfrm>
                            <a:off x="0" y="0"/>
                            <a:ext cx="2790825" cy="1866900"/>
                          </a:xfrm>
                          <a:prstGeom prst="rect">
                            <a:avLst/>
                          </a:prstGeom>
                          <a:noFill/>
                          <a:ln w="9525">
                            <a:noFill/>
                          </a:ln>
                        </pic:spPr>
                      </pic:pic>
                    </a:graphicData>
                  </a:graphic>
                </wp:inline>
              </w:drawing>
            </w:r>
          </w:p>
        </w:tc>
      </w:tr>
    </w:tbl>
    <w:p>
      <w:bookmarkStart w:id="53" w:name="_GoBack"/>
      <w:bookmarkEnd w:id="5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136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GIF"/><Relationship Id="rId40" Type="http://schemas.openxmlformats.org/officeDocument/2006/relationships/fontTable" Target="fontTable.xml"/><Relationship Id="rId4" Type="http://schemas.openxmlformats.org/officeDocument/2006/relationships/image" Target="media/image1.GIF"/><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2019-09-30T02:31:51Z</dcterms:created>
  <dc:creator>HP</dc:creator>
  <cp:lastModifiedBy>joke</cp:lastModifiedBy>
  <dcterms:modified xsi:type="dcterms:W3CDTF">2019-09-30T02:32:01Z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