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W w:w="8208" w:type="dxa"/>
        <w:jc w:val="center"/>
        <w:tblCellSpacing w:w="0" w:type="dxa"/>
        <w:tblInd w:w="49" w:type="dxa"/>
        <w:shd w:val="clear" w:color="auto" w:fill="FFFFFF"/>
        <w:tblLayout w:type="fixed"/>
        <w:tblCellMar>
          <w:top w:w="132" w:type="dxa"/>
          <w:left w:w="0" w:type="dxa"/>
          <w:bottom w:w="0" w:type="dxa"/>
          <w:right w:w="0" w:type="dxa"/>
        </w:tblCellMar>
      </w:tblPr>
      <w:tblGrid>
        <w:gridCol w:w="8208"/>
      </w:tblGrid>
      <w:tr>
        <w:tblPrEx>
          <w:shd w:val="clear" w:color="auto" w:fill="FFFFFF"/>
          <w:tblLayout w:type="fixed"/>
          <w:tblCellMar>
            <w:top w:w="132" w:type="dxa"/>
            <w:left w:w="0" w:type="dxa"/>
            <w:bottom w:w="0" w:type="dxa"/>
            <w:right w:w="0" w:type="dxa"/>
          </w:tblCellMar>
        </w:tblPrEx>
        <w:trPr>
          <w:trHeight w:val="420" w:hRule="atLeast"/>
          <w:tblCellSpacing w:w="0" w:type="dxa"/>
          <w:jc w:val="center"/>
        </w:trPr>
        <w:tc>
          <w:tcPr>
            <w:tcW w:w="8208" w:type="dxa"/>
            <w:shd w:val="clear" w:color="auto" w:fill="FFFFFF"/>
            <w:vAlign w:val="center"/>
          </w:tcPr>
          <w:p>
            <w:pPr>
              <w:keepNext w:val="0"/>
              <w:keepLines w:val="0"/>
              <w:widowControl/>
              <w:suppressLineNumbers w:val="0"/>
              <w:ind w:left="0" w:firstLine="0"/>
              <w:jc w:val="center"/>
              <w:rPr>
                <w:rFonts w:hint="eastAsia" w:ascii="宋体" w:hAnsi="宋体" w:eastAsia="宋体" w:cs="宋体"/>
                <w:b/>
                <w:caps w:val="0"/>
                <w:color w:val="D00000"/>
                <w:spacing w:val="0"/>
                <w:sz w:val="16"/>
                <w:szCs w:val="16"/>
              </w:rPr>
            </w:pPr>
            <w:r>
              <w:rPr>
                <w:rFonts w:hint="eastAsia" w:ascii="宋体" w:hAnsi="宋体" w:eastAsia="宋体" w:cs="宋体"/>
                <w:b/>
                <w:caps w:val="0"/>
                <w:color w:val="D00000"/>
                <w:spacing w:val="0"/>
                <w:kern w:val="0"/>
                <w:sz w:val="16"/>
                <w:szCs w:val="16"/>
                <w:lang w:val="en-US" w:eastAsia="zh-CN" w:bidi="ar"/>
              </w:rPr>
              <w:t>2014年6月宜昌市城区房地产市场分析报告</w:t>
            </w:r>
          </w:p>
        </w:tc>
      </w:tr>
      <w:tr>
        <w:tblPrEx>
          <w:shd w:val="clear" w:color="auto" w:fill="FFFFFF"/>
          <w:tblLayout w:type="fixed"/>
          <w:tblCellMar>
            <w:top w:w="132" w:type="dxa"/>
            <w:left w:w="0" w:type="dxa"/>
            <w:bottom w:w="0" w:type="dxa"/>
            <w:right w:w="0" w:type="dxa"/>
          </w:tblCellMar>
        </w:tblPrEx>
        <w:trPr>
          <w:trHeight w:val="301" w:hRule="atLeast"/>
          <w:tblCellSpacing w:w="0" w:type="dxa"/>
          <w:jc w:val="center"/>
        </w:trPr>
        <w:tc>
          <w:tcPr>
            <w:tcW w:w="8208" w:type="dxa"/>
            <w:shd w:val="clear" w:color="auto" w:fill="FFFFFF"/>
            <w:vAlign w:val="center"/>
          </w:tcPr>
          <w:p>
            <w:pPr>
              <w:keepNext w:val="0"/>
              <w:keepLines w:val="0"/>
              <w:widowControl/>
              <w:suppressLineNumbers w:val="0"/>
              <w:ind w:left="0" w:firstLine="0"/>
              <w:jc w:val="center"/>
              <w:rPr>
                <w:rFonts w:hint="eastAsia" w:ascii="宋体" w:hAnsi="宋体" w:eastAsia="宋体" w:cs="宋体"/>
                <w:caps w:val="0"/>
                <w:color w:val="6C5239"/>
                <w:spacing w:val="0"/>
                <w:sz w:val="14"/>
                <w:szCs w:val="14"/>
              </w:rPr>
            </w:pPr>
            <w:r>
              <w:rPr>
                <w:rFonts w:hint="eastAsia" w:ascii="宋体" w:hAnsi="宋体" w:eastAsia="宋体" w:cs="宋体"/>
                <w:caps w:val="0"/>
                <w:color w:val="6C5239"/>
                <w:spacing w:val="0"/>
                <w:kern w:val="0"/>
                <w:sz w:val="14"/>
                <w:szCs w:val="14"/>
                <w:lang w:val="en-US" w:eastAsia="zh-CN" w:bidi="ar"/>
              </w:rPr>
              <w:t>发布时间：7/14/2014 3:08:03 PM 浏览：2092</w:t>
            </w:r>
          </w:p>
        </w:tc>
      </w:tr>
    </w:tbl>
    <w:p>
      <w:pPr>
        <w:rPr>
          <w:vanish/>
          <w:sz w:val="24"/>
          <w:szCs w:val="24"/>
        </w:rPr>
      </w:pPr>
    </w:p>
    <w:tbl>
      <w:tblPr>
        <w:tblW w:w="8306" w:type="dxa"/>
        <w:tblCellSpacing w:w="0" w:type="dxa"/>
        <w:tblInd w:w="0" w:type="dxa"/>
        <w:shd w:val="clear" w:color="auto" w:fill="FFFFFF"/>
        <w:tblLayout w:type="fixed"/>
        <w:tblCellMar>
          <w:top w:w="0" w:type="dxa"/>
          <w:left w:w="0" w:type="dxa"/>
          <w:bottom w:w="0" w:type="dxa"/>
          <w:right w:w="0" w:type="dxa"/>
        </w:tblCellMar>
      </w:tblPr>
      <w:tblGrid>
        <w:gridCol w:w="4153"/>
        <w:gridCol w:w="4153"/>
      </w:tblGrid>
      <w:tr>
        <w:tblPrEx>
          <w:tblLayout w:type="fixed"/>
          <w:tblCellMar>
            <w:top w:w="0" w:type="dxa"/>
            <w:left w:w="0" w:type="dxa"/>
            <w:bottom w:w="0" w:type="dxa"/>
            <w:right w:w="0" w:type="dxa"/>
          </w:tblCellMar>
        </w:tblPrEx>
        <w:trPr>
          <w:tblCellSpacing w:w="0" w:type="dxa"/>
        </w:trPr>
        <w:tc>
          <w:tcPr>
            <w:tcW w:w="4153" w:type="dxa"/>
            <w:shd w:val="clear" w:color="auto" w:fill="FFFFFF"/>
            <w:vAlign w:val="center"/>
          </w:tcPr>
          <w:p>
            <w:pPr>
              <w:keepNext w:val="0"/>
              <w:keepLines w:val="0"/>
              <w:widowControl/>
              <w:suppressLineNumbers w:val="0"/>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tc>
        <w:tc>
          <w:tcPr>
            <w:tcW w:w="4153" w:type="dxa"/>
            <w:shd w:val="clear" w:color="auto" w:fill="FFFFFF"/>
            <w:vAlign w:val="center"/>
          </w:tcPr>
          <w:p>
            <w:pPr>
              <w:keepNext w:val="0"/>
              <w:keepLines w:val="0"/>
              <w:widowControl/>
              <w:suppressLineNumbers w:val="0"/>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tc>
      </w:tr>
    </w:tbl>
    <w:p>
      <w:pPr>
        <w:rPr>
          <w:vanish/>
          <w:sz w:val="24"/>
          <w:szCs w:val="24"/>
        </w:rPr>
      </w:pPr>
    </w:p>
    <w:tbl>
      <w:tblPr>
        <w:tblW w:w="8306" w:type="dxa"/>
        <w:jc w:val="center"/>
        <w:tblCellSpacing w:w="0" w:type="dxa"/>
        <w:tblInd w:w="0" w:type="dxa"/>
        <w:shd w:val="clear" w:color="auto" w:fill="FFFFFF"/>
        <w:tblLayout w:type="fixed"/>
        <w:tblCellMar>
          <w:top w:w="0" w:type="dxa"/>
          <w:left w:w="0" w:type="dxa"/>
          <w:bottom w:w="0" w:type="dxa"/>
          <w:right w:w="0" w:type="dxa"/>
        </w:tblCellMar>
      </w:tblPr>
      <w:tblGrid>
        <w:gridCol w:w="8306"/>
      </w:tblGrid>
      <w:tr>
        <w:tblPrEx>
          <w:tblLayout w:type="fixed"/>
          <w:tblCellMar>
            <w:top w:w="0" w:type="dxa"/>
            <w:left w:w="0" w:type="dxa"/>
            <w:bottom w:w="0" w:type="dxa"/>
            <w:right w:w="0" w:type="dxa"/>
          </w:tblCellMar>
        </w:tblPrEx>
        <w:trPr>
          <w:trHeight w:val="301" w:hRule="atLeast"/>
          <w:tblCellSpacing w:w="0" w:type="dxa"/>
          <w:jc w:val="center"/>
        </w:trPr>
        <w:tc>
          <w:tcPr>
            <w:tcW w:w="8306" w:type="dxa"/>
            <w:shd w:val="clear" w:color="auto" w:fill="FFFFFF"/>
            <w:vAlign w:val="center"/>
          </w:tcPr>
          <w:p>
            <w:pPr>
              <w:pStyle w:val="2"/>
              <w:keepNext w:val="0"/>
              <w:keepLines w:val="0"/>
              <w:widowControl/>
              <w:suppressLineNumbers w:val="0"/>
              <w:spacing w:line="24" w:lineRule="atLeast"/>
              <w:jc w:val="center"/>
            </w:pPr>
            <w:r>
              <w:rPr>
                <w:rFonts w:hint="eastAsia" w:ascii="宋体" w:hAnsi="宋体" w:eastAsia="宋体" w:cs="宋体"/>
                <w:caps w:val="0"/>
                <w:spacing w:val="0"/>
                <w:sz w:val="27"/>
                <w:szCs w:val="27"/>
              </w:rPr>
              <w:t>第一部分  楼市政策分析</w:t>
            </w:r>
          </w:p>
          <w:p>
            <w:pPr>
              <w:pStyle w:val="3"/>
              <w:keepNext w:val="0"/>
              <w:keepLines w:val="0"/>
              <w:widowControl/>
              <w:suppressLineNumbers w:val="0"/>
              <w:spacing w:line="24" w:lineRule="atLeast"/>
            </w:pPr>
            <w:bookmarkStart w:id="0" w:name="_Toc389951421"/>
            <w:bookmarkEnd w:id="0"/>
            <w:bookmarkStart w:id="1" w:name="_Toc384797619"/>
            <w:bookmarkEnd w:id="1"/>
            <w:bookmarkStart w:id="2" w:name="_Toc384797303"/>
            <w:bookmarkEnd w:id="2"/>
            <w:bookmarkStart w:id="3" w:name="_Toc384797221"/>
            <w:bookmarkEnd w:id="3"/>
            <w:bookmarkStart w:id="4" w:name="_Toc384796962"/>
            <w:bookmarkEnd w:id="4"/>
            <w:bookmarkStart w:id="5" w:name="_Toc380050033"/>
            <w:bookmarkEnd w:id="5"/>
            <w:bookmarkStart w:id="6" w:name="_Toc347757543"/>
            <w:bookmarkEnd w:id="6"/>
            <w:r>
              <w:rPr>
                <w:caps w:val="0"/>
                <w:spacing w:val="0"/>
              </w:rPr>
              <w:t>    </w:t>
            </w:r>
            <w:bookmarkStart w:id="7" w:name="_Toc345167227"/>
            <w:r>
              <w:rPr>
                <w:rFonts w:hint="eastAsia" w:ascii="宋体" w:hAnsi="宋体" w:eastAsia="宋体" w:cs="宋体"/>
                <w:caps w:val="0"/>
                <w:spacing w:val="0"/>
                <w:sz w:val="20"/>
                <w:szCs w:val="20"/>
              </w:rPr>
              <w:t>一、本月楼市政策一览</w:t>
            </w:r>
            <w:bookmarkEnd w:id="7"/>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1、6月9日，四部委:养老服务设施建设纳入土地利用总规划</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近日，民政部、国土资源部、财政部、住房和城乡建设部四部门联合下发《关于推进城镇养老服务设施建设工作的通知》，要求将养老服务、相关设施建设纳入社会发展规划、土地利用总体规划和相关城乡规划。通知明确指出可以分宗的养老用地需按相关政策单独办理供地手续；对需要在其他建筑物内部配建或不具备单宗划宗条件的，可将规划确定的配建养老服务设施指标作为供地条件纳入所在宗地。</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政策解读：</w:t>
            </w:r>
            <w:r>
              <w:rPr>
                <w:rFonts w:hint="eastAsia" w:ascii="宋体" w:hAnsi="宋体" w:eastAsia="宋体" w:cs="宋体"/>
                <w:caps w:val="0"/>
                <w:spacing w:val="0"/>
                <w:kern w:val="0"/>
                <w:sz w:val="20"/>
                <w:szCs w:val="20"/>
                <w:lang w:val="en-US" w:eastAsia="zh-CN" w:bidi="ar"/>
              </w:rPr>
              <w:t>随着人口老龄化的快速发展，“养老问题”日益突出，政府今年就养老设施用地第三次发文，充分反映国家对该问题的高度重视。而且中央正在提倡“节约集约用地”理念，对于房地产行业而言，未来养老服务设施建设将成为其开发过程中需要面临的一门新课程。</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2、6月9日，国土部：禁止以土地换项目于今年9月1日起实施</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国土资源部部长姜大明签署国土资源部第61号令，发布《节约集约利用土地规定》。此次专门就土地节约集约利用进行规范和引导做了明确规定，规定强调，各地禁止以土地换项目、先征后返、补贴、奖励等形式变相减免土地出让价款，经营性用地应当以招标拍卖挂牌的方式确定土地使用者和土地价格，各类有</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偿使用的土地供应不得低于国家规定的用地最低价标准，自2014年9月1日起实施。</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政策解读：</w:t>
            </w:r>
            <w:r>
              <w:rPr>
                <w:rFonts w:hint="eastAsia" w:ascii="宋体" w:hAnsi="宋体" w:eastAsia="宋体" w:cs="宋体"/>
                <w:caps w:val="0"/>
                <w:spacing w:val="0"/>
                <w:kern w:val="0"/>
                <w:sz w:val="20"/>
                <w:szCs w:val="20"/>
                <w:lang w:val="en-US" w:eastAsia="zh-CN" w:bidi="ar"/>
              </w:rPr>
              <w:t>地方在招商引资时，地价能优惠至何种程度，很大意义上决定了引资成功与否。而现在国家做出了明确的表态，禁止以土地换项目于今年9月1日起实施，此举势必造成地方招商优惠力度减弱，也将意味着许多优质大牌房企的一些优势不再。</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3、6月16日，央行：年内第二次定向降准</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央行于16日发布了《定向下调存款准备金率引导信贷资源支持“三农”和小微企业》的决定，规定即日起实施年内第二次定向降准，符合审慎经营要求且“三农”和小微企业贷款达到一定比例的商业银行将下调人民币存款准备金率0.5个百分点。</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政策解读：</w:t>
            </w:r>
            <w:r>
              <w:rPr>
                <w:rFonts w:hint="eastAsia" w:ascii="宋体" w:hAnsi="宋体" w:eastAsia="宋体" w:cs="宋体"/>
                <w:caps w:val="0"/>
                <w:spacing w:val="0"/>
                <w:kern w:val="0"/>
                <w:sz w:val="20"/>
                <w:szCs w:val="20"/>
                <w:lang w:val="en-US" w:eastAsia="zh-CN" w:bidi="ar"/>
              </w:rPr>
              <w:t>这次定向降准力挺“三农”和小微企业两大领域，意在补齐经济发展短板，有利于调结构和惠民生，促进经济稳增长。从房地产行业来看，如果政府的这些举措对经济起到了一定的刺激作用，那信贷偏紧的不利局面有望得到缓解。</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4、6月27日，国务院：印发《新型城镇化规划》</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国务院印发了《国家新型城镇化规划(2014年-2020年)》(以下简称《规划》)，规划中清晰的指出，城镇化是现代化的必由之路，必须做到常住人口城镇化率达到60%左右，户籍人口城镇化率达45%左右，户籍人口城镇化率与常住人口城镇化率差距缩小2个百分点左右，要努力实现1亿左右农业转移人口和其他常住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口在城镇落户。</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政策解读：</w:t>
            </w:r>
            <w:r>
              <w:rPr>
                <w:rFonts w:hint="eastAsia" w:ascii="宋体" w:hAnsi="宋体" w:eastAsia="宋体" w:cs="宋体"/>
                <w:caps w:val="0"/>
                <w:spacing w:val="0"/>
                <w:kern w:val="0"/>
                <w:sz w:val="20"/>
                <w:szCs w:val="20"/>
                <w:lang w:val="en-US" w:eastAsia="zh-CN" w:bidi="ar"/>
              </w:rPr>
              <w:t>政府现在正在积极稳妥地推进城镇化，而户籍制度改革或成为一项强有力的措施，可有效的使数亿农民转化为城镇人口从而释放更大的市场需求，数亿人口的落户也势必将拉大需求，助推房地产市场的发展。</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政策总结：</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本月中央政策</w:t>
            </w:r>
            <w:r>
              <w:rPr>
                <w:rFonts w:hint="eastAsia" w:ascii="宋体" w:hAnsi="宋体" w:eastAsia="宋体" w:cs="宋体"/>
                <w:b/>
                <w:caps w:val="0"/>
                <w:spacing w:val="0"/>
                <w:kern w:val="0"/>
                <w:sz w:val="20"/>
                <w:szCs w:val="20"/>
                <w:lang w:val="en-US" w:eastAsia="zh-CN" w:bidi="ar"/>
              </w:rPr>
              <w:t>表现平稳</w:t>
            </w:r>
            <w:r>
              <w:rPr>
                <w:rFonts w:hint="eastAsia" w:ascii="宋体" w:hAnsi="宋体" w:eastAsia="宋体" w:cs="宋体"/>
                <w:caps w:val="0"/>
                <w:spacing w:val="0"/>
                <w:kern w:val="0"/>
                <w:sz w:val="20"/>
                <w:szCs w:val="20"/>
                <w:lang w:val="en-US" w:eastAsia="zh-CN" w:bidi="ar"/>
              </w:rPr>
              <w:t>，而地方</w:t>
            </w:r>
            <w:r>
              <w:rPr>
                <w:rFonts w:hint="eastAsia" w:ascii="宋体" w:hAnsi="宋体" w:eastAsia="宋体" w:cs="宋体"/>
                <w:b/>
                <w:caps w:val="0"/>
                <w:spacing w:val="0"/>
                <w:kern w:val="0"/>
                <w:sz w:val="20"/>
                <w:szCs w:val="20"/>
                <w:lang w:val="en-US" w:eastAsia="zh-CN" w:bidi="ar"/>
              </w:rPr>
              <w:t>小动作不断</w:t>
            </w:r>
            <w:r>
              <w:rPr>
                <w:rFonts w:hint="eastAsia" w:ascii="宋体" w:hAnsi="宋体" w:eastAsia="宋体" w:cs="宋体"/>
                <w:caps w:val="0"/>
                <w:spacing w:val="0"/>
                <w:kern w:val="0"/>
                <w:sz w:val="20"/>
                <w:szCs w:val="20"/>
                <w:lang w:val="en-US" w:eastAsia="zh-CN" w:bidi="ar"/>
              </w:rPr>
              <w:t>。</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6月份各城市政策“微调”频频，沈阳按耐不住率先取消限购，但无奈又是“一日游”，随后，呼和浩特市于6月26日正式发文全面取消限购，成为46个城市中首个取消限购的二线城市；与此同时，福州、厦门也相继传出限购执行放松的消息，都在试探中央的底线，以至于住建部记者会上需要再次明确地方政府可以根据自身实际情况，对限购政策进行调整。从中央对于楼市调控的态度来看，在坚持分类调控的原则下，地方政府对于楼市的调控将拥有较多的自主权，但这都是在不违背调控的主旨精神的前提下进行的，预计</w:t>
            </w:r>
            <w:r>
              <w:rPr>
                <w:rFonts w:hint="eastAsia" w:ascii="宋体" w:hAnsi="宋体" w:eastAsia="宋体" w:cs="宋体"/>
                <w:b/>
                <w:caps w:val="0"/>
                <w:spacing w:val="0"/>
                <w:kern w:val="0"/>
                <w:sz w:val="20"/>
                <w:szCs w:val="20"/>
                <w:lang w:val="en-US" w:eastAsia="zh-CN" w:bidi="ar"/>
              </w:rPr>
              <w:t>地方</w:t>
            </w:r>
            <w:r>
              <w:rPr>
                <w:rFonts w:hint="eastAsia" w:ascii="宋体" w:hAnsi="宋体" w:eastAsia="宋体" w:cs="宋体"/>
                <w:caps w:val="0"/>
                <w:spacing w:val="0"/>
                <w:kern w:val="0"/>
                <w:sz w:val="20"/>
                <w:szCs w:val="20"/>
                <w:lang w:val="en-US" w:eastAsia="zh-CN" w:bidi="ar"/>
              </w:rPr>
              <w:t>政府</w:t>
            </w:r>
            <w:r>
              <w:rPr>
                <w:rFonts w:hint="eastAsia" w:ascii="宋体" w:hAnsi="宋体" w:eastAsia="宋体" w:cs="宋体"/>
                <w:b/>
                <w:caps w:val="0"/>
                <w:spacing w:val="0"/>
                <w:kern w:val="0"/>
                <w:sz w:val="20"/>
                <w:szCs w:val="20"/>
                <w:lang w:val="en-US" w:eastAsia="zh-CN" w:bidi="ar"/>
              </w:rPr>
              <w:t>救市力度</w:t>
            </w:r>
            <w:r>
              <w:rPr>
                <w:rFonts w:hint="eastAsia" w:ascii="宋体" w:hAnsi="宋体" w:eastAsia="宋体" w:cs="宋体"/>
                <w:caps w:val="0"/>
                <w:spacing w:val="0"/>
                <w:kern w:val="0"/>
                <w:sz w:val="20"/>
                <w:szCs w:val="20"/>
                <w:lang w:val="en-US" w:eastAsia="zh-CN" w:bidi="ar"/>
              </w:rPr>
              <w:t>仍将</w:t>
            </w:r>
            <w:r>
              <w:rPr>
                <w:rFonts w:hint="eastAsia" w:ascii="宋体" w:hAnsi="宋体" w:eastAsia="宋体" w:cs="宋体"/>
                <w:b/>
                <w:caps w:val="0"/>
                <w:spacing w:val="0"/>
                <w:kern w:val="0"/>
                <w:sz w:val="20"/>
                <w:szCs w:val="20"/>
                <w:lang w:val="en-US" w:eastAsia="zh-CN" w:bidi="ar"/>
              </w:rPr>
              <w:t>维持温和态势</w:t>
            </w:r>
            <w:r>
              <w:rPr>
                <w:rFonts w:hint="eastAsia" w:ascii="宋体" w:hAnsi="宋体" w:eastAsia="宋体" w:cs="宋体"/>
                <w:caps w:val="0"/>
                <w:spacing w:val="0"/>
                <w:kern w:val="0"/>
                <w:sz w:val="20"/>
                <w:szCs w:val="20"/>
                <w:lang w:val="en-US" w:eastAsia="zh-CN" w:bidi="ar"/>
              </w:rPr>
              <w:t>。</w:t>
            </w:r>
            <w:bookmarkStart w:id="8" w:name="_Toc389951422"/>
            <w:bookmarkEnd w:id="8"/>
            <w:bookmarkStart w:id="9" w:name="_Toc384797620"/>
            <w:bookmarkEnd w:id="9"/>
            <w:bookmarkStart w:id="10" w:name="_Toc384797304"/>
            <w:bookmarkEnd w:id="10"/>
            <w:bookmarkStart w:id="11" w:name="_Toc384797222"/>
            <w:bookmarkEnd w:id="11"/>
            <w:bookmarkStart w:id="12" w:name="_Toc384796963"/>
            <w:bookmarkEnd w:id="12"/>
            <w:bookmarkStart w:id="13" w:name="_Toc380050034"/>
            <w:bookmarkEnd w:id="13"/>
          </w:p>
          <w:p>
            <w:pPr>
              <w:pStyle w:val="3"/>
              <w:keepNext w:val="0"/>
              <w:keepLines w:val="0"/>
              <w:widowControl/>
              <w:suppressLineNumbers w:val="0"/>
              <w:spacing w:line="24" w:lineRule="atLeast"/>
              <w:jc w:val="center"/>
            </w:pPr>
            <w:r>
              <w:rPr>
                <w:rFonts w:hint="eastAsia" w:ascii="宋体" w:hAnsi="宋体" w:eastAsia="宋体" w:cs="宋体"/>
                <w:caps w:val="0"/>
                <w:spacing w:val="0"/>
                <w:sz w:val="27"/>
                <w:szCs w:val="27"/>
              </w:rPr>
              <w:t>二、楼市发展趋势分析</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 土地状况：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 供应情况：6月全国300个城市共推出土地2742宗，推出土地面积10339万平方米，环比减少2%，同比减少32%；其中，住宅类用地（含住宅用地及包含住宅用地的综合性用地）815宗，推出土地面积3787万平方米，环比增加3%，</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同比减少31%。主要城市供地节奏放缓，住宅类用地入市量较上月略有增加，同比跌幅较大。</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 成交情况：6月全国300个城市共成交土地1884宗，成交面积7268万平方米，环比减少18%，同比减少43%。其中，住宅类用地（含住宅用地及包含住宅用地的综合性用地）518宗，成交面积2600万平方米，环比增加12%，同比减少46%。</w:t>
            </w:r>
            <w:r>
              <w:rPr>
                <w:rFonts w:hint="eastAsia" w:ascii="宋体" w:hAnsi="宋体" w:eastAsia="宋体" w:cs="宋体"/>
                <w:b/>
                <w:caps w:val="0"/>
                <w:spacing w:val="0"/>
                <w:kern w:val="0"/>
                <w:sz w:val="20"/>
                <w:szCs w:val="20"/>
                <w:lang w:val="en-US" w:eastAsia="zh-CN" w:bidi="ar"/>
              </w:rPr>
              <w:t>楼市观望情绪依旧持续，房企拿地仍趋谨慎，成交量环比、同比跌幅均扩大。</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 成交价格：6月全国300个城市成交楼面均价为1144元/平方米，环比上涨9%，同比上涨13%；其中住宅类用地（含住宅用地及包含住宅用地的综合性用地）成交楼面均价为1687元/平方米，环比上涨1%，同比上涨27%。</w:t>
            </w:r>
            <w:r>
              <w:rPr>
                <w:rFonts w:hint="eastAsia" w:ascii="宋体" w:hAnsi="宋体" w:eastAsia="宋体" w:cs="宋体"/>
                <w:b/>
                <w:caps w:val="0"/>
                <w:spacing w:val="0"/>
                <w:kern w:val="0"/>
                <w:sz w:val="20"/>
                <w:szCs w:val="20"/>
                <w:lang w:val="en-US" w:eastAsia="zh-CN" w:bidi="ar"/>
              </w:rPr>
              <w:t>土地成交楼面均价开始上涨，同比涨幅扩大。</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 房价情况：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监测的100个城市中成交价格环比上涨的有29个，其中湖州涨幅最大，为2.74%；而其余71个城市均环比下跌，其中温州、常熟跌幅最大，均在4%以上。10个重点城市中，除上海价格环比上涨外其余均全部下跌，其中杭州跌幅最大，环比下跌2.06%。</w:t>
            </w:r>
            <w:r>
              <w:rPr>
                <w:rFonts w:hint="eastAsia" w:ascii="宋体" w:hAnsi="宋体" w:eastAsia="宋体" w:cs="宋体"/>
                <w:b/>
                <w:caps w:val="0"/>
                <w:spacing w:val="0"/>
                <w:kern w:val="0"/>
                <w:sz w:val="20"/>
                <w:szCs w:val="20"/>
                <w:lang w:val="en-US" w:eastAsia="zh-CN" w:bidi="ar"/>
              </w:rPr>
              <w:t>总体而言，本月成交均价大半持续下跌。</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 本月宜昌楼市情况：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学子高考早已结束，但楼市高考还在继续，伴随着世界杯的欢呼声，本月宜昌楼市没有喝彩，表现平平。6月份住宅与商住用地零成交量，这是从“新国五条”颁布以来土地市场又一次遇冷；虽然借助“6月现象”住宅市场成交量出现大幅攀升，但自春节过后整体水平仍然不高，维持上升节奏信心仍显不足。目前中央政策未有大的举动，但地方小动作不断，可难见成效；央行喊话已有时日，然信贷依旧偏紧，利率有不降反升迹象。面对不良局面，楼市动作更显理性，“观望”已成楼市头条。</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2524125" cy="1514475"/>
                  <wp:effectExtent l="0" t="0" r="5715" b="9525"/>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4"/>
                          <a:stretch>
                            <a:fillRect/>
                          </a:stretch>
                        </pic:blipFill>
                        <pic:spPr>
                          <a:xfrm>
                            <a:off x="0" y="0"/>
                            <a:ext cx="2524125" cy="1514475"/>
                          </a:xfrm>
                          <a:prstGeom prst="rect">
                            <a:avLst/>
                          </a:prstGeom>
                          <a:noFill/>
                          <a:ln w="9525">
                            <a:noFill/>
                          </a:ln>
                        </pic:spPr>
                      </pic:pic>
                    </a:graphicData>
                  </a:graphic>
                </wp:inline>
              </w:drawing>
            </w:r>
            <w:r>
              <w:rPr>
                <w:rFonts w:hint="eastAsia" w:ascii="宋体" w:hAnsi="宋体" w:eastAsia="宋体" w:cs="宋体"/>
                <w:caps w:val="0"/>
                <w:spacing w:val="0"/>
                <w:kern w:val="0"/>
                <w:sz w:val="14"/>
                <w:szCs w:val="14"/>
                <w:lang w:val="en-US" w:eastAsia="zh-CN" w:bidi="ar"/>
              </w:rPr>
              <w:drawing>
                <wp:inline distT="0" distB="0" distL="114300" distR="114300">
                  <wp:extent cx="2524125" cy="1514475"/>
                  <wp:effectExtent l="0" t="0" r="5715" b="9525"/>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2524125" cy="1514475"/>
                          </a:xfrm>
                          <a:prstGeom prst="rect">
                            <a:avLst/>
                          </a:prstGeom>
                          <a:noFill/>
                          <a:ln w="9525">
                            <a:noFill/>
                          </a:ln>
                        </pic:spPr>
                      </pic:pic>
                    </a:graphicData>
                  </a:graphic>
                </wp:inline>
              </w:drawing>
            </w:r>
          </w:p>
          <w:p>
            <w:pPr>
              <w:pStyle w:val="2"/>
              <w:keepNext w:val="0"/>
              <w:keepLines w:val="0"/>
              <w:widowControl/>
              <w:suppressLineNumbers w:val="0"/>
              <w:spacing w:line="24" w:lineRule="atLeast"/>
              <w:jc w:val="center"/>
            </w:pPr>
            <w:r>
              <w:rPr>
                <w:rFonts w:hint="eastAsia" w:ascii="宋体" w:hAnsi="宋体" w:eastAsia="宋体" w:cs="宋体"/>
                <w:caps w:val="0"/>
                <w:spacing w:val="0"/>
                <w:sz w:val="20"/>
                <w:szCs w:val="20"/>
              </w:rPr>
              <w:t>第二部分  土地市场分析</w:t>
            </w:r>
          </w:p>
          <w:p>
            <w:pPr>
              <w:pStyle w:val="3"/>
              <w:keepNext w:val="0"/>
              <w:keepLines w:val="0"/>
              <w:widowControl/>
              <w:suppressLineNumbers w:val="0"/>
              <w:spacing w:line="24" w:lineRule="atLeast"/>
            </w:pPr>
            <w:bookmarkStart w:id="14" w:name="_Toc389951424"/>
            <w:bookmarkEnd w:id="14"/>
            <w:bookmarkStart w:id="15" w:name="_Toc384797622"/>
            <w:bookmarkEnd w:id="15"/>
            <w:bookmarkStart w:id="16" w:name="_Toc384797306"/>
            <w:bookmarkEnd w:id="16"/>
            <w:bookmarkStart w:id="17" w:name="_Toc384797224"/>
            <w:bookmarkEnd w:id="17"/>
            <w:bookmarkStart w:id="18" w:name="_Toc384796965"/>
            <w:bookmarkEnd w:id="18"/>
            <w:bookmarkStart w:id="19" w:name="_Toc380050036"/>
            <w:bookmarkEnd w:id="19"/>
            <w:bookmarkStart w:id="20" w:name="_Toc353178132"/>
            <w:bookmarkEnd w:id="20"/>
            <w:bookmarkStart w:id="21" w:name="_Toc347757546"/>
            <w:bookmarkEnd w:id="21"/>
            <w:r>
              <w:rPr>
                <w:caps w:val="0"/>
                <w:spacing w:val="0"/>
              </w:rPr>
              <w:t>   </w:t>
            </w:r>
            <w:bookmarkStart w:id="22" w:name="_Toc339981458"/>
            <w:r>
              <w:rPr>
                <w:rFonts w:hint="eastAsia" w:ascii="宋体" w:hAnsi="宋体" w:eastAsia="宋体" w:cs="宋体"/>
                <w:caps w:val="0"/>
                <w:spacing w:val="0"/>
                <w:sz w:val="20"/>
                <w:szCs w:val="20"/>
              </w:rPr>
              <w:t>一、土地供应市场解析</w:t>
            </w:r>
            <w:bookmarkEnd w:id="22"/>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bookmarkStart w:id="23" w:name="_Toc380050037"/>
            <w:bookmarkEnd w:id="23"/>
            <w:r>
              <w:rPr>
                <w:rFonts w:hint="eastAsia" w:ascii="宋体" w:hAnsi="宋体" w:eastAsia="宋体" w:cs="宋体"/>
                <w:caps w:val="0"/>
                <w:spacing w:val="0"/>
                <w:kern w:val="0"/>
                <w:sz w:val="14"/>
                <w:szCs w:val="14"/>
                <w:lang w:val="en-US" w:eastAsia="zh-CN" w:bidi="ar"/>
              </w:rPr>
              <w:t>     </w:t>
            </w:r>
            <w:bookmarkStart w:id="24" w:name="_Toc350245826"/>
            <w:r>
              <w:rPr>
                <w:rFonts w:hint="eastAsia" w:ascii="宋体" w:hAnsi="宋体" w:eastAsia="宋体" w:cs="宋体"/>
                <w:b/>
                <w:caps w:val="0"/>
                <w:spacing w:val="0"/>
                <w:kern w:val="0"/>
                <w:sz w:val="20"/>
                <w:szCs w:val="20"/>
                <w:lang w:val="en-US" w:eastAsia="zh-CN" w:bidi="ar"/>
              </w:rPr>
              <w:t>1</w:t>
            </w:r>
            <w:bookmarkEnd w:id="24"/>
            <w:r>
              <w:rPr>
                <w:rFonts w:hint="eastAsia" w:ascii="宋体" w:hAnsi="宋体" w:eastAsia="宋体" w:cs="宋体"/>
                <w:b/>
                <w:caps w:val="0"/>
                <w:spacing w:val="0"/>
                <w:kern w:val="0"/>
                <w:sz w:val="20"/>
                <w:szCs w:val="20"/>
                <w:lang w:val="en-US" w:eastAsia="zh-CN" w:bidi="ar"/>
              </w:rPr>
              <w:t>、土地供应情况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bookmarkStart w:id="25" w:name="_Toc380050038"/>
            <w:bookmarkEnd w:id="25"/>
            <w:r>
              <w:rPr>
                <w:rFonts w:hint="eastAsia" w:ascii="宋体" w:hAnsi="宋体" w:eastAsia="宋体" w:cs="宋体"/>
                <w:caps w:val="0"/>
                <w:spacing w:val="0"/>
                <w:kern w:val="0"/>
                <w:sz w:val="14"/>
                <w:szCs w:val="14"/>
                <w:lang w:val="en-US" w:eastAsia="zh-CN" w:bidi="ar"/>
              </w:rPr>
              <w:t>     </w:t>
            </w:r>
            <w:bookmarkStart w:id="26" w:name="_Toc350245827"/>
            <w:r>
              <w:rPr>
                <w:rFonts w:hint="eastAsia" w:ascii="宋体" w:hAnsi="宋体" w:eastAsia="宋体" w:cs="宋体"/>
                <w:caps w:val="0"/>
                <w:spacing w:val="0"/>
                <w:kern w:val="0"/>
                <w:sz w:val="20"/>
                <w:szCs w:val="20"/>
                <w:lang w:val="en-US" w:eastAsia="zh-CN" w:bidi="ar"/>
              </w:rPr>
              <w:t>本月出让地块</w:t>
            </w:r>
            <w:bookmarkEnd w:id="26"/>
            <w:r>
              <w:rPr>
                <w:rFonts w:hint="eastAsia" w:ascii="宋体" w:hAnsi="宋体" w:eastAsia="宋体" w:cs="宋体"/>
                <w:caps w:val="0"/>
                <w:spacing w:val="0"/>
                <w:kern w:val="0"/>
                <w:sz w:val="20"/>
                <w:szCs w:val="20"/>
                <w:lang w:val="en-US" w:eastAsia="zh-CN" w:bidi="ar"/>
              </w:rPr>
              <w:t>18宗，出让总面积为88.45万方，出让总额为11.86亿元，</w:t>
            </w:r>
            <w:r>
              <w:rPr>
                <w:rFonts w:hint="eastAsia" w:ascii="宋体" w:hAnsi="宋体" w:eastAsia="宋体" w:cs="宋体"/>
                <w:b/>
                <w:caps w:val="0"/>
                <w:spacing w:val="0"/>
                <w:kern w:val="0"/>
                <w:sz w:val="20"/>
                <w:szCs w:val="20"/>
                <w:lang w:val="en-US" w:eastAsia="zh-CN" w:bidi="ar"/>
              </w:rPr>
              <w:t>较上月大幅增加。</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6月出让地块详情</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drawing>
                <wp:inline distT="0" distB="0" distL="114300" distR="114300">
                  <wp:extent cx="5067300" cy="5334000"/>
                  <wp:effectExtent l="0" t="0" r="7620" b="0"/>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5067300" cy="53340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2013年6月-2014年6月宜昌城区土地供给横向对比</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drawing>
                <wp:inline distT="0" distB="0" distL="114300" distR="114300">
                  <wp:extent cx="5067300" cy="1162050"/>
                  <wp:effectExtent l="0" t="0" r="7620" b="11430"/>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7"/>
                          <a:stretch>
                            <a:fillRect/>
                          </a:stretch>
                        </pic:blipFill>
                        <pic:spPr>
                          <a:xfrm>
                            <a:off x="0" y="0"/>
                            <a:ext cx="5067300" cy="11620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2、出让土地特征</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从区域来看，主要集中在伍家岗。其中伍家岗供地5宗、高新区和猇亭区各4宗、点军区3宗、夷陵区2宗。从用地性质来看，工业用地居多，住宅用地次之。其中工业用地7宗、住宅用地6宗、商业用地3宗、商住用地2宗。</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本月出让土地面积环比增加1.2倍，同比增加42%。其中住宅及商住类用地出让面积为51.2万方，环比增加2.2倍，同比增加4.8倍。本月供应量大幅增加，较上月及去年同期而言，行情明显好转。</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w:t>
            </w:r>
            <w:bookmarkStart w:id="27" w:name="_Toc389951425"/>
            <w:r>
              <w:rPr>
                <w:rFonts w:hint="eastAsia" w:ascii="宋体" w:hAnsi="宋体" w:eastAsia="宋体" w:cs="宋体"/>
                <w:b/>
                <w:caps w:val="0"/>
                <w:spacing w:val="0"/>
                <w:kern w:val="0"/>
                <w:sz w:val="20"/>
                <w:szCs w:val="20"/>
                <w:lang w:val="en-US" w:eastAsia="zh-CN" w:bidi="ar"/>
              </w:rPr>
              <w:t>本月推出的住宅及商住类用地皆位于伍家岗、高新区、点军区，预计未来总放量为106.11万方。其中【宜土网（2014）49号】位于伍家岗城东大道与东风路交汇处，该地块在本月供地量最大，为12.9万方，预计未来放量32.53</w:t>
            </w:r>
            <w:bookmarkEnd w:id="27"/>
            <w:r>
              <w:rPr>
                <w:rFonts w:hint="eastAsia" w:ascii="宋体" w:hAnsi="宋体" w:eastAsia="宋体" w:cs="宋体"/>
                <w:b/>
                <w:caps w:val="0"/>
                <w:spacing w:val="0"/>
                <w:kern w:val="0"/>
                <w:sz w:val="20"/>
                <w:szCs w:val="20"/>
                <w:lang w:val="en-US" w:eastAsia="zh-CN" w:bidi="ar"/>
              </w:rPr>
              <w:t>万方。随着宜昌新区规划的不断落实，政府也将加快和加大点军与伍家岗土地的供应。</w:t>
            </w:r>
          </w:p>
          <w:p>
            <w:pPr>
              <w:pStyle w:val="3"/>
              <w:keepNext w:val="0"/>
              <w:keepLines w:val="0"/>
              <w:widowControl/>
              <w:suppressLineNumbers w:val="0"/>
              <w:spacing w:line="24" w:lineRule="atLeast"/>
              <w:jc w:val="center"/>
            </w:pPr>
            <w:r>
              <w:rPr>
                <w:rFonts w:hint="eastAsia" w:ascii="宋体" w:hAnsi="宋体" w:eastAsia="宋体" w:cs="宋体"/>
                <w:caps w:val="0"/>
                <w:spacing w:val="0"/>
                <w:sz w:val="27"/>
                <w:szCs w:val="27"/>
              </w:rPr>
              <w:t>二、本月土地成交分析</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1、土地成交情况</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本月成交地块12宗，成交总面积为28.14万方，成交总额为1.38亿元，成交均价为32.77万元/亩。</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6月成交地块详情</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drawing>
                <wp:inline distT="0" distB="0" distL="114300" distR="114300">
                  <wp:extent cx="5067300" cy="4057650"/>
                  <wp:effectExtent l="0" t="0" r="7620" b="11430"/>
                  <wp:docPr id="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60"/>
                          <pic:cNvPicPr>
                            <a:picLocks noChangeAspect="1"/>
                          </pic:cNvPicPr>
                        </pic:nvPicPr>
                        <pic:blipFill>
                          <a:blip r:embed="rId8"/>
                          <a:stretch>
                            <a:fillRect/>
                          </a:stretch>
                        </pic:blipFill>
                        <pic:spPr>
                          <a:xfrm>
                            <a:off x="0" y="0"/>
                            <a:ext cx="5067300" cy="40576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2、成交土地特征</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从用地性质来看，主要以工业用地为主，其中9宗工业用地、3宗商业用地。从区域来看，大多集中在猇亭，其中猇亭6宗、高新区4宗、伍家岗2宗。</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本月成交面积环比增加2.24倍，同比减少82%。其中住宅及商住类用地无成交，成交市场行情不及去年同期。</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3、2013年1月—2014年5月土地市场成交走势</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土地成交面积走势                           土地成交价格走势</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drawing>
                <wp:inline distT="0" distB="0" distL="114300" distR="114300">
                  <wp:extent cx="5067300" cy="1695450"/>
                  <wp:effectExtent l="0" t="0" r="7620" b="1143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5067300" cy="16954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b/>
                <w:caps w:val="0"/>
                <w:spacing w:val="0"/>
                <w:sz w:val="20"/>
                <w:szCs w:val="20"/>
              </w:rPr>
            </w:pPr>
            <w:bookmarkStart w:id="28" w:name="_Toc384797624"/>
            <w:bookmarkEnd w:id="28"/>
            <w:bookmarkStart w:id="29" w:name="_Toc384797308"/>
            <w:bookmarkEnd w:id="29"/>
            <w:bookmarkStart w:id="30" w:name="_Toc384797226"/>
            <w:bookmarkEnd w:id="30"/>
            <w:bookmarkStart w:id="31" w:name="_Toc384796967"/>
            <w:bookmarkEnd w:id="31"/>
            <w:bookmarkStart w:id="32" w:name="_Toc380050040"/>
            <w:bookmarkEnd w:id="32"/>
            <w:r>
              <w:rPr>
                <w:rFonts w:hint="eastAsia" w:ascii="宋体" w:hAnsi="宋体" w:eastAsia="宋体" w:cs="宋体"/>
                <w:b/>
                <w:caps w:val="0"/>
                <w:spacing w:val="0"/>
                <w:kern w:val="0"/>
                <w:sz w:val="20"/>
                <w:szCs w:val="20"/>
                <w:lang w:val="en-US" w:eastAsia="zh-CN" w:bidi="ar"/>
              </w:rPr>
              <w:t>        </w:t>
            </w:r>
            <w:bookmarkStart w:id="33" w:name="_Toc369074148"/>
            <w:r>
              <w:rPr>
                <w:rFonts w:hint="eastAsia" w:ascii="宋体" w:hAnsi="宋体" w:eastAsia="宋体" w:cs="宋体"/>
                <w:b/>
                <w:caps w:val="0"/>
                <w:spacing w:val="0"/>
                <w:kern w:val="0"/>
                <w:sz w:val="20"/>
                <w:szCs w:val="20"/>
                <w:lang w:val="en-US" w:eastAsia="zh-CN" w:bidi="ar"/>
              </w:rPr>
              <w:t>由上图可以看出，土地成交面积在春节之后一直下跌，但在本月开始反弹，环比增加2.24倍；成交价格方面，至今年3月开始起伏节奏急促，较为不稳定，到本月又开始下跌。目前市场情况表现欠佳，成交量一直在低位徘徊，且多以工业用地为主，而住宅及商住用地极少。</w:t>
            </w:r>
            <w:bookmarkEnd w:id="33"/>
            <w:bookmarkStart w:id="34" w:name="_Toc389951426"/>
            <w:bookmarkEnd w:id="34"/>
          </w:p>
          <w:p>
            <w:pPr>
              <w:pStyle w:val="2"/>
              <w:keepNext w:val="0"/>
              <w:keepLines w:val="0"/>
              <w:widowControl/>
              <w:suppressLineNumbers w:val="0"/>
              <w:spacing w:line="24" w:lineRule="atLeast"/>
              <w:jc w:val="center"/>
            </w:pPr>
            <w:r>
              <w:rPr>
                <w:rFonts w:hint="eastAsia" w:ascii="宋体" w:hAnsi="宋体" w:eastAsia="宋体" w:cs="宋体"/>
                <w:caps w:val="0"/>
                <w:spacing w:val="0"/>
                <w:sz w:val="27"/>
                <w:szCs w:val="27"/>
              </w:rPr>
              <w:t>第三部分  各区楼市表现</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宜昌楼市主要动态：</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本月接受认筹的项目有：</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天玺26、27#楼认筹1万抵3万；</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兴发广场13#楼排号认筹1万抵2万；</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城中金谷17#楼认筹，预存5千元享年回报率3650%；</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本月新开盘项目有：</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山水华庭二期6月15日开盘；</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江南星城二期6月28日开盘；</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恒大帝景一期6月28日开盘；</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美联御江一品【御江座】6月2日开盘；</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预计下月开盘项目有：</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平湖港湾预计7月初开盘；</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宜化新天地7月13日开盘；</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山水国际12#楼预计7月中旬开盘；</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宏信玫瑰城二期预计7月中旬开盘；</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主城区其他重点项目动态：</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宜化新天地开启“啤酒节”；</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恒大帝景开展“你拍我猜”活动；</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天玺空降汗血宝马绽放亿级样板区；</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世纪山水举办“西瓜雕刻DIY”活动；</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正泰玫瑰园“2014世界杯有奖竞猜”活动；</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春华星运城邀请赵芸蕾助阵营销中心开放。</w:t>
            </w:r>
          </w:p>
          <w:p>
            <w:pPr>
              <w:pStyle w:val="3"/>
              <w:keepNext w:val="0"/>
              <w:keepLines w:val="0"/>
              <w:widowControl/>
              <w:suppressLineNumbers w:val="0"/>
              <w:spacing w:line="24" w:lineRule="atLeast"/>
              <w:jc w:val="left"/>
            </w:pPr>
            <w:r>
              <w:rPr>
                <w:caps w:val="0"/>
                <w:spacing w:val="0"/>
                <w:sz w:val="20"/>
                <w:szCs w:val="20"/>
              </w:rPr>
              <w:t>     一、西陵区</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1、区内主要楼盘动态</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drawing>
                <wp:inline distT="0" distB="0" distL="114300" distR="114300">
                  <wp:extent cx="5067300" cy="4562475"/>
                  <wp:effectExtent l="0" t="0" r="7620" b="952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5067300" cy="45624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2、区内重点项目调查</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 项目名称：天玺</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 地理位置：西陵二路与体育场路交会处</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 开 发 商：湖北华祥投资发展有限公司</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 项目定位：城心龙脉•半山墅区</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 主广告语：俯视一座城市的仰望/270度俯瞰一城美景</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 开发规模：总占地9.8万方，总建面36万方，容积率2.29，绿化率40%，建筑密度为25%，分三期开发。</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 规划要点：由14栋高层和31栋联排别墅组合而成。</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 主力户型：A户型  3×2×2  138.00㎡</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B户型  3×2×2  123.00㎡</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C户型  2×2×1  87.00㎡</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 项目动态：26、27#楼于6月初启动认筹，认筹享1万抵3万与每日送200元置业金的优惠。6月28日，天玺空降汗血宝马绽放亿级样板区。现87-138㎡宽景高层在售。</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 项目点评：项目地处西陵老核心区，区内交通便利，生活配套设施完善，但403老区环境对生活居住品质存在一定的影响</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drawing>
                <wp:inline distT="0" distB="0" distL="114300" distR="114300">
                  <wp:extent cx="2133600" cy="1666875"/>
                  <wp:effectExtent l="0" t="0" r="0" b="9525"/>
                  <wp:docPr id="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IMG_263"/>
                          <pic:cNvPicPr>
                            <a:picLocks noChangeAspect="1"/>
                          </pic:cNvPicPr>
                        </pic:nvPicPr>
                        <pic:blipFill>
                          <a:blip r:embed="rId11"/>
                          <a:stretch>
                            <a:fillRect/>
                          </a:stretch>
                        </pic:blipFill>
                        <pic:spPr>
                          <a:xfrm>
                            <a:off x="0" y="0"/>
                            <a:ext cx="2133600" cy="1666875"/>
                          </a:xfrm>
                          <a:prstGeom prst="rect">
                            <a:avLst/>
                          </a:prstGeom>
                          <a:noFill/>
                          <a:ln w="9525">
                            <a:noFill/>
                          </a:ln>
                        </pic:spPr>
                      </pic:pic>
                    </a:graphicData>
                  </a:graphic>
                </wp:inline>
              </w:drawing>
            </w:r>
            <w:r>
              <w:rPr>
                <w:rFonts w:hint="eastAsia" w:ascii="宋体" w:hAnsi="宋体" w:eastAsia="宋体" w:cs="宋体"/>
                <w:b/>
                <w:caps w:val="0"/>
                <w:spacing w:val="0"/>
                <w:kern w:val="0"/>
                <w:sz w:val="20"/>
                <w:szCs w:val="20"/>
                <w:lang w:val="en-US" w:eastAsia="zh-CN" w:bidi="ar"/>
              </w:rPr>
              <w:drawing>
                <wp:inline distT="0" distB="0" distL="114300" distR="114300">
                  <wp:extent cx="3467100" cy="1676400"/>
                  <wp:effectExtent l="0" t="0" r="7620" b="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3467100" cy="16764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w:t>
            </w:r>
          </w:p>
          <w:p>
            <w:pPr>
              <w:pStyle w:val="3"/>
              <w:keepNext w:val="0"/>
              <w:keepLines w:val="0"/>
              <w:widowControl/>
              <w:suppressLineNumbers w:val="0"/>
              <w:spacing w:line="24" w:lineRule="atLeast"/>
            </w:pPr>
            <w:r>
              <w:rPr>
                <w:caps w:val="0"/>
                <w:spacing w:val="0"/>
                <w:sz w:val="20"/>
                <w:szCs w:val="20"/>
              </w:rPr>
              <w:t>   二、伍家区</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1、区内主要楼盘动态</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drawing>
                <wp:inline distT="0" distB="0" distL="114300" distR="114300">
                  <wp:extent cx="5067300" cy="3752850"/>
                  <wp:effectExtent l="0" t="0" r="7620" b="11430"/>
                  <wp:docPr id="1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65"/>
                          <pic:cNvPicPr>
                            <a:picLocks noChangeAspect="1"/>
                          </pic:cNvPicPr>
                        </pic:nvPicPr>
                        <pic:blipFill>
                          <a:blip r:embed="rId13"/>
                          <a:stretch>
                            <a:fillRect/>
                          </a:stretch>
                        </pic:blipFill>
                        <pic:spPr>
                          <a:xfrm>
                            <a:off x="0" y="0"/>
                            <a:ext cx="5067300" cy="37528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drawing>
                <wp:inline distT="0" distB="0" distL="114300" distR="114300">
                  <wp:extent cx="5067300" cy="1343025"/>
                  <wp:effectExtent l="0" t="0" r="7620" b="13335"/>
                  <wp:docPr id="1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66"/>
                          <pic:cNvPicPr>
                            <a:picLocks noChangeAspect="1"/>
                          </pic:cNvPicPr>
                        </pic:nvPicPr>
                        <pic:blipFill>
                          <a:blip r:embed="rId14"/>
                          <a:stretch>
                            <a:fillRect/>
                          </a:stretch>
                        </pic:blipFill>
                        <pic:spPr>
                          <a:xfrm>
                            <a:off x="0" y="0"/>
                            <a:ext cx="5067300" cy="13430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2、区内重点项目调查</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 项目名称：山水华庭</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 地理位置：伍家岗区东山大道与东艳路交汇处；</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 开 发 商：宜昌山水房地产开发有限公司；</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 开发规模：总占面近16万方，总建面约60万方，容积率2.8，绿化率32%，总户数约4000户，配有约1:1比例的停车位。</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 规划要点：共25栋高层住宅，为ARTDECO的建筑风格；景观方面“一条中心轴，多个内庭院”的规划结构，设有300米纵深的主景观轴及1万平方米的中央景观广场。</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 形象定位：领秀城东·揽境尊邸；</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 户型产品：75-134㎡（二期）</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E1户型  4×2×2  127㎡   E2户型  3×2×1  93㎡    </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F1户型  4×2×2  134㎡   F2户型  2×2×1  75㎡   </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F3户型  3×2×1   99㎡   F4户型  3×2×2  110㎡</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 项目动态：二期于6月5日为协和医院组织了一批团购，售出140套房源；而后，于6月15日在万达皇冠假日酒店开盘，其中5栋楼开盘，分别为4、5、9、12、16#楼，共计推出615套房源，去化近5成，均价为5958元/㎡。</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 项目点评：紧邻城市主干道东山大道，在东站附近，交通便利，周边配套完善，但附近城市面貌较差，不及城东现代化气息，居住品质受到一定影响。</w:t>
            </w:r>
          </w:p>
          <w:p>
            <w:pPr>
              <w:pStyle w:val="3"/>
              <w:keepNext w:val="0"/>
              <w:keepLines w:val="0"/>
              <w:widowControl/>
              <w:suppressLineNumbers w:val="0"/>
              <w:spacing w:line="24" w:lineRule="atLeast"/>
            </w:pPr>
            <w:r>
              <w:rPr>
                <w:rFonts w:hint="eastAsia" w:ascii="宋体" w:hAnsi="宋体" w:eastAsia="宋体" w:cs="宋体"/>
                <w:caps w:val="0"/>
                <w:spacing w:val="0"/>
                <w:sz w:val="20"/>
                <w:szCs w:val="20"/>
              </w:rPr>
              <w:t>   三、开发区</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1、区内主要楼盘动态</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drawing>
                <wp:inline distT="0" distB="0" distL="114300" distR="114300">
                  <wp:extent cx="5067300" cy="5467350"/>
                  <wp:effectExtent l="0" t="0" r="7620" b="3810"/>
                  <wp:docPr id="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IMG_267"/>
                          <pic:cNvPicPr>
                            <a:picLocks noChangeAspect="1"/>
                          </pic:cNvPicPr>
                        </pic:nvPicPr>
                        <pic:blipFill>
                          <a:blip r:embed="rId15"/>
                          <a:stretch>
                            <a:fillRect/>
                          </a:stretch>
                        </pic:blipFill>
                        <pic:spPr>
                          <a:xfrm>
                            <a:off x="0" y="0"/>
                            <a:ext cx="5067300" cy="54673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2、区内重点项目调查</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 项目名称：春华·星运城</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 地理位置：发展大道与北苑路交叉路口；</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 开 发 商：宜昌春华俊源房地产开发有限公司 ；</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 开发规模：占地2.6万㎡，总建面7.8万㎡，容积率3.0，建筑密度18.34%，绿地率30%，总停车位632个(地下577个，地上55个)，总户数737户。</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 规划要点：分布2栋18F商住综合楼，6栋18-25F住宅楼 ；并规划有8000㎡中心水景园林。</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 形象定位：星空下·运河边；</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 主力户型：  C1   2×2×1（可蝶变）   90.87㎡    占比13%</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C2   2×2×1             85.14㎡    占比13%</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C3   2×2×1 （可蝶变）  91.02㎡    占比13%</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B2   2×2×1             85.83㎡     占比9%</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 项目动态：6月1日营销中心开放，现形象展示阶段，奥运冠军赵芸蕾为该项目代言。</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 项目点评：交通比较便利，但该项目周边生活配套欠完善，特别是教育资源与日常生活购物相对缺乏，居住的方便度与舒适性会受到一定影响。</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0"/>
                <w:szCs w:val="20"/>
              </w:rPr>
            </w:pP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drawing>
                <wp:inline distT="0" distB="0" distL="114300" distR="114300">
                  <wp:extent cx="2400300" cy="1800225"/>
                  <wp:effectExtent l="0" t="0" r="7620" b="13335"/>
                  <wp:docPr id="17"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IMG_268"/>
                          <pic:cNvPicPr>
                            <a:picLocks noChangeAspect="1"/>
                          </pic:cNvPicPr>
                        </pic:nvPicPr>
                        <pic:blipFill>
                          <a:blip r:embed="rId16"/>
                          <a:stretch>
                            <a:fillRect/>
                          </a:stretch>
                        </pic:blipFill>
                        <pic:spPr>
                          <a:xfrm>
                            <a:off x="0" y="0"/>
                            <a:ext cx="2400300" cy="1800225"/>
                          </a:xfrm>
                          <a:prstGeom prst="rect">
                            <a:avLst/>
                          </a:prstGeom>
                          <a:noFill/>
                          <a:ln w="9525">
                            <a:noFill/>
                          </a:ln>
                        </pic:spPr>
                      </pic:pic>
                    </a:graphicData>
                  </a:graphic>
                </wp:inline>
              </w:drawing>
            </w: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drawing>
                <wp:inline distT="0" distB="0" distL="114300" distR="114300">
                  <wp:extent cx="2457450" cy="1800225"/>
                  <wp:effectExtent l="0" t="0" r="11430" b="13335"/>
                  <wp:docPr id="19"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IMG_269"/>
                          <pic:cNvPicPr>
                            <a:picLocks noChangeAspect="1"/>
                          </pic:cNvPicPr>
                        </pic:nvPicPr>
                        <pic:blipFill>
                          <a:blip r:embed="rId17"/>
                          <a:stretch>
                            <a:fillRect/>
                          </a:stretch>
                        </pic:blipFill>
                        <pic:spPr>
                          <a:xfrm>
                            <a:off x="0" y="0"/>
                            <a:ext cx="2457450" cy="1800225"/>
                          </a:xfrm>
                          <a:prstGeom prst="rect">
                            <a:avLst/>
                          </a:prstGeom>
                          <a:noFill/>
                          <a:ln w="9525">
                            <a:noFill/>
                          </a:ln>
                        </pic:spPr>
                      </pic:pic>
                    </a:graphicData>
                  </a:graphic>
                </wp:inline>
              </w:drawing>
            </w:r>
          </w:p>
          <w:p>
            <w:pPr>
              <w:pStyle w:val="3"/>
              <w:keepNext w:val="0"/>
              <w:keepLines w:val="0"/>
              <w:widowControl/>
              <w:suppressLineNumbers w:val="0"/>
              <w:spacing w:line="24" w:lineRule="atLeast"/>
              <w:ind w:left="0" w:firstLine="602"/>
            </w:pPr>
            <w:bookmarkStart w:id="35" w:name="_Toc389951430"/>
            <w:r>
              <w:rPr>
                <w:rFonts w:hint="eastAsia" w:ascii="宋体" w:hAnsi="宋体" w:eastAsia="宋体" w:cs="宋体"/>
                <w:caps w:val="0"/>
                <w:spacing w:val="0"/>
                <w:sz w:val="20"/>
                <w:szCs w:val="20"/>
              </w:rPr>
              <w:t>四、夷陵区</w:t>
            </w:r>
            <w:bookmarkEnd w:id="35"/>
          </w:p>
          <w:p>
            <w:pPr>
              <w:pStyle w:val="3"/>
              <w:keepNext w:val="0"/>
              <w:keepLines w:val="0"/>
              <w:widowControl/>
              <w:suppressLineNumbers w:val="0"/>
              <w:spacing w:line="413" w:lineRule="atLeast"/>
            </w:pPr>
            <w:r>
              <w:rPr>
                <w:rFonts w:hint="eastAsia" w:ascii="宋体" w:hAnsi="宋体" w:eastAsia="宋体" w:cs="宋体"/>
                <w:b/>
                <w:caps w:val="0"/>
                <w:spacing w:val="0"/>
                <w:sz w:val="20"/>
                <w:szCs w:val="20"/>
                <w:lang w:val="en-US"/>
              </w:rPr>
              <w:t>  1、区内主要楼盘动态</w:t>
            </w:r>
          </w:p>
          <w:p>
            <w:pPr>
              <w:pStyle w:val="3"/>
              <w:keepNext w:val="0"/>
              <w:keepLines w:val="0"/>
              <w:widowControl/>
              <w:suppressLineNumbers w:val="0"/>
              <w:spacing w:line="413" w:lineRule="atLeast"/>
            </w:pPr>
            <w:r>
              <w:rPr>
                <w:rFonts w:hint="eastAsia" w:ascii="宋体" w:hAnsi="宋体" w:eastAsia="宋体" w:cs="宋体"/>
                <w:b/>
                <w:caps w:val="0"/>
                <w:spacing w:val="0"/>
                <w:sz w:val="20"/>
                <w:szCs w:val="20"/>
                <w:lang w:val="en-US"/>
              </w:rPr>
              <w:t>       </w:t>
            </w:r>
            <w:r>
              <w:rPr>
                <w:rFonts w:hint="eastAsia" w:ascii="宋体" w:hAnsi="宋体" w:eastAsia="宋体" w:cs="宋体"/>
                <w:b/>
                <w:caps w:val="0"/>
                <w:spacing w:val="0"/>
                <w:sz w:val="20"/>
                <w:szCs w:val="20"/>
                <w:lang w:val="en-US"/>
              </w:rPr>
              <w:drawing>
                <wp:inline distT="0" distB="0" distL="114300" distR="114300">
                  <wp:extent cx="5067300" cy="5105400"/>
                  <wp:effectExtent l="0" t="0" r="7620" b="0"/>
                  <wp:docPr id="20"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IMG_270"/>
                          <pic:cNvPicPr>
                            <a:picLocks noChangeAspect="1"/>
                          </pic:cNvPicPr>
                        </pic:nvPicPr>
                        <pic:blipFill>
                          <a:blip r:embed="rId18"/>
                          <a:stretch>
                            <a:fillRect/>
                          </a:stretch>
                        </pic:blipFill>
                        <pic:spPr>
                          <a:xfrm>
                            <a:off x="0" y="0"/>
                            <a:ext cx="5067300" cy="5105400"/>
                          </a:xfrm>
                          <a:prstGeom prst="rect">
                            <a:avLst/>
                          </a:prstGeom>
                          <a:noFill/>
                          <a:ln w="9525">
                            <a:noFill/>
                          </a:ln>
                        </pic:spPr>
                      </pic:pic>
                    </a:graphicData>
                  </a:graphic>
                </wp:inline>
              </w:drawing>
            </w:r>
          </w:p>
          <w:p>
            <w:pPr>
              <w:pStyle w:val="3"/>
              <w:keepNext w:val="0"/>
              <w:keepLines w:val="0"/>
              <w:widowControl/>
              <w:suppressLineNumbers w:val="0"/>
              <w:spacing w:line="413" w:lineRule="atLeast"/>
            </w:pPr>
            <w:r>
              <w:rPr>
                <w:rFonts w:hint="eastAsia" w:ascii="宋体" w:hAnsi="宋体" w:eastAsia="宋体" w:cs="宋体"/>
                <w:b/>
                <w:caps w:val="0"/>
                <w:spacing w:val="0"/>
                <w:sz w:val="20"/>
                <w:szCs w:val="20"/>
                <w:lang w:val="en-US"/>
              </w:rPr>
              <w:t>2、区内重点项目调查</w:t>
            </w:r>
          </w:p>
          <w:p>
            <w:pPr>
              <w:pStyle w:val="3"/>
              <w:keepNext w:val="0"/>
              <w:keepLines w:val="0"/>
              <w:widowControl/>
              <w:suppressLineNumbers w:val="0"/>
              <w:spacing w:line="413" w:lineRule="atLeast"/>
            </w:pPr>
            <w:r>
              <w:rPr>
                <w:rFonts w:hint="eastAsia" w:ascii="宋体" w:hAnsi="宋体" w:eastAsia="宋体" w:cs="宋体"/>
                <w:b/>
                <w:caps w:val="0"/>
                <w:spacing w:val="0"/>
                <w:sz w:val="20"/>
                <w:szCs w:val="20"/>
                <w:lang w:val="en-US"/>
              </w:rPr>
              <w:t>◎ 项目名称：朗月半岛</w:t>
            </w:r>
          </w:p>
          <w:p>
            <w:pPr>
              <w:pStyle w:val="3"/>
              <w:keepNext w:val="0"/>
              <w:keepLines w:val="0"/>
              <w:widowControl/>
              <w:suppressLineNumbers w:val="0"/>
              <w:spacing w:line="413" w:lineRule="atLeast"/>
            </w:pPr>
            <w:r>
              <w:rPr>
                <w:rFonts w:hint="eastAsia" w:ascii="宋体" w:hAnsi="宋体" w:eastAsia="宋体" w:cs="宋体"/>
                <w:b/>
                <w:caps w:val="0"/>
                <w:spacing w:val="0"/>
                <w:sz w:val="20"/>
                <w:szCs w:val="20"/>
                <w:lang w:val="en-US"/>
              </w:rPr>
              <w:t>□ 地理位置：</w:t>
            </w:r>
            <w:r>
              <w:rPr>
                <w:rFonts w:hint="eastAsia" w:ascii="宋体" w:hAnsi="宋体" w:eastAsia="宋体" w:cs="宋体"/>
                <w:caps w:val="0"/>
                <w:spacing w:val="0"/>
                <w:sz w:val="20"/>
                <w:szCs w:val="20"/>
                <w:lang w:val="en-US"/>
              </w:rPr>
              <w:t>夷陵区松湖路和希望路交汇处；</w:t>
            </w:r>
          </w:p>
          <w:p>
            <w:pPr>
              <w:pStyle w:val="3"/>
              <w:keepNext w:val="0"/>
              <w:keepLines w:val="0"/>
              <w:widowControl/>
              <w:suppressLineNumbers w:val="0"/>
              <w:spacing w:line="413" w:lineRule="atLeast"/>
            </w:pPr>
            <w:r>
              <w:rPr>
                <w:rFonts w:hint="eastAsia" w:ascii="宋体" w:hAnsi="宋体" w:eastAsia="宋体" w:cs="宋体"/>
                <w:b/>
                <w:caps w:val="0"/>
                <w:spacing w:val="0"/>
                <w:sz w:val="20"/>
                <w:szCs w:val="20"/>
                <w:lang w:val="en-US"/>
              </w:rPr>
              <w:t>□ 开 发 商：</w:t>
            </w:r>
            <w:r>
              <w:rPr>
                <w:rFonts w:hint="eastAsia" w:ascii="宋体" w:hAnsi="宋体" w:eastAsia="宋体" w:cs="宋体"/>
                <w:caps w:val="0"/>
                <w:spacing w:val="0"/>
                <w:sz w:val="20"/>
                <w:szCs w:val="20"/>
                <w:lang w:val="en-US"/>
              </w:rPr>
              <w:t>宜昌家旺房地产开发有限公司；</w:t>
            </w:r>
          </w:p>
          <w:p>
            <w:pPr>
              <w:pStyle w:val="3"/>
              <w:keepNext w:val="0"/>
              <w:keepLines w:val="0"/>
              <w:widowControl/>
              <w:suppressLineNumbers w:val="0"/>
              <w:spacing w:line="413" w:lineRule="atLeast"/>
            </w:pPr>
            <w:r>
              <w:rPr>
                <w:rFonts w:hint="eastAsia" w:ascii="宋体" w:hAnsi="宋体" w:eastAsia="宋体" w:cs="宋体"/>
                <w:b/>
                <w:caps w:val="0"/>
                <w:spacing w:val="0"/>
                <w:sz w:val="20"/>
                <w:szCs w:val="20"/>
                <w:lang w:val="en-US"/>
              </w:rPr>
              <w:t>□ 开发规模： </w:t>
            </w:r>
            <w:r>
              <w:rPr>
                <w:rFonts w:hint="eastAsia" w:ascii="宋体" w:hAnsi="宋体" w:eastAsia="宋体" w:cs="宋体"/>
                <w:caps w:val="0"/>
                <w:spacing w:val="0"/>
                <w:sz w:val="20"/>
                <w:szCs w:val="20"/>
                <w:lang w:val="en-US"/>
              </w:rPr>
              <w:t>占地2.2万㎡，总建面8.8万㎡，容积率3.2，建筑密度26.9%，绿地率36%，总户数617户，停车位565个。</w:t>
            </w:r>
          </w:p>
          <w:p>
            <w:pPr>
              <w:pStyle w:val="3"/>
              <w:keepNext w:val="0"/>
              <w:keepLines w:val="0"/>
              <w:widowControl/>
              <w:suppressLineNumbers w:val="0"/>
              <w:spacing w:line="413" w:lineRule="atLeast"/>
            </w:pPr>
            <w:r>
              <w:rPr>
                <w:rFonts w:hint="eastAsia" w:ascii="宋体" w:hAnsi="宋体" w:eastAsia="宋体" w:cs="宋体"/>
                <w:b/>
                <w:caps w:val="0"/>
                <w:spacing w:val="0"/>
                <w:sz w:val="20"/>
                <w:szCs w:val="20"/>
                <w:lang w:val="en-US"/>
              </w:rPr>
              <w:t>□ 规划要点：</w:t>
            </w:r>
            <w:r>
              <w:rPr>
                <w:rFonts w:hint="eastAsia" w:ascii="宋体" w:hAnsi="宋体" w:eastAsia="宋体" w:cs="宋体"/>
                <w:caps w:val="0"/>
                <w:spacing w:val="0"/>
                <w:sz w:val="20"/>
                <w:szCs w:val="20"/>
                <w:lang w:val="en-US"/>
              </w:rPr>
              <w:t>由6栋26-31F的高层组成；</w:t>
            </w:r>
          </w:p>
          <w:p>
            <w:pPr>
              <w:pStyle w:val="3"/>
              <w:keepNext w:val="0"/>
              <w:keepLines w:val="0"/>
              <w:widowControl/>
              <w:suppressLineNumbers w:val="0"/>
              <w:spacing w:line="413" w:lineRule="atLeast"/>
            </w:pPr>
            <w:r>
              <w:rPr>
                <w:rFonts w:hint="eastAsia" w:ascii="宋体" w:hAnsi="宋体" w:eastAsia="宋体" w:cs="宋体"/>
                <w:b/>
                <w:caps w:val="0"/>
                <w:spacing w:val="0"/>
                <w:sz w:val="20"/>
                <w:szCs w:val="20"/>
                <w:lang w:val="en-US"/>
              </w:rPr>
              <w:t>□ 形象定位：</w:t>
            </w:r>
            <w:r>
              <w:rPr>
                <w:rFonts w:hint="eastAsia" w:ascii="宋体" w:hAnsi="宋体" w:eastAsia="宋体" w:cs="宋体"/>
                <w:caps w:val="0"/>
                <w:spacing w:val="0"/>
                <w:sz w:val="20"/>
                <w:szCs w:val="20"/>
                <w:lang w:val="en-US"/>
              </w:rPr>
              <w:t>80-130㎡原生山水天然氧气宅邸；</w:t>
            </w:r>
          </w:p>
          <w:p>
            <w:pPr>
              <w:pStyle w:val="3"/>
              <w:keepNext w:val="0"/>
              <w:keepLines w:val="0"/>
              <w:widowControl/>
              <w:suppressLineNumbers w:val="0"/>
              <w:spacing w:line="413" w:lineRule="atLeast"/>
            </w:pPr>
            <w:r>
              <w:rPr>
                <w:rFonts w:hint="eastAsia" w:ascii="宋体" w:hAnsi="宋体" w:eastAsia="宋体" w:cs="宋体"/>
                <w:b/>
                <w:caps w:val="0"/>
                <w:spacing w:val="0"/>
                <w:sz w:val="20"/>
                <w:szCs w:val="20"/>
                <w:lang w:val="en-US"/>
              </w:rPr>
              <w:t>□ 主力户型：</w:t>
            </w:r>
            <w:r>
              <w:rPr>
                <w:rFonts w:hint="eastAsia" w:ascii="宋体" w:hAnsi="宋体" w:eastAsia="宋体" w:cs="宋体"/>
                <w:caps w:val="0"/>
                <w:spacing w:val="0"/>
                <w:sz w:val="20"/>
                <w:szCs w:val="20"/>
                <w:lang w:val="en-US"/>
              </w:rPr>
              <w:t>（4、6#楼）B3户型   3×2×1   112㎡  50%</w:t>
            </w:r>
          </w:p>
          <w:p>
            <w:pPr>
              <w:pStyle w:val="3"/>
              <w:keepNext w:val="0"/>
              <w:keepLines w:val="0"/>
              <w:widowControl/>
              <w:suppressLineNumbers w:val="0"/>
              <w:spacing w:line="413" w:lineRule="atLeast"/>
              <w:jc w:val="left"/>
            </w:pPr>
            <w:r>
              <w:rPr>
                <w:rFonts w:hint="eastAsia" w:ascii="宋体" w:hAnsi="宋体" w:eastAsia="宋体" w:cs="宋体"/>
                <w:caps w:val="0"/>
                <w:spacing w:val="0"/>
                <w:sz w:val="20"/>
                <w:szCs w:val="20"/>
                <w:lang w:val="en-US"/>
              </w:rPr>
              <w:t>B5户型   2×2×1    83㎡  50%</w:t>
            </w:r>
          </w:p>
          <w:p>
            <w:pPr>
              <w:pStyle w:val="3"/>
              <w:keepNext w:val="0"/>
              <w:keepLines w:val="0"/>
              <w:widowControl/>
              <w:suppressLineNumbers w:val="0"/>
              <w:spacing w:line="413" w:lineRule="atLeast"/>
            </w:pPr>
            <w:r>
              <w:rPr>
                <w:rFonts w:hint="eastAsia" w:ascii="宋体" w:hAnsi="宋体" w:eastAsia="宋体" w:cs="宋体"/>
                <w:caps w:val="0"/>
                <w:spacing w:val="0"/>
                <w:sz w:val="20"/>
                <w:szCs w:val="20"/>
                <w:lang w:val="en-US"/>
              </w:rPr>
              <w:t>     </w:t>
            </w:r>
            <w:r>
              <w:rPr>
                <w:rFonts w:hint="eastAsia" w:ascii="宋体" w:hAnsi="宋体" w:eastAsia="宋体" w:cs="宋体"/>
                <w:b/>
                <w:caps w:val="0"/>
                <w:spacing w:val="0"/>
                <w:sz w:val="20"/>
                <w:szCs w:val="20"/>
                <w:lang w:val="en-US"/>
              </w:rPr>
              <w:t>□ 项目动态： </w:t>
            </w:r>
            <w:r>
              <w:rPr>
                <w:rFonts w:hint="eastAsia" w:ascii="宋体" w:hAnsi="宋体" w:eastAsia="宋体" w:cs="宋体"/>
                <w:caps w:val="0"/>
                <w:spacing w:val="0"/>
                <w:sz w:val="20"/>
                <w:szCs w:val="20"/>
                <w:lang w:val="en-US"/>
              </w:rPr>
              <w:t>4、6#楼团购中，团购均价为4250元/㎡，至今4个月去化44%；现场只留有基坑，没有任何施工动静，预计明年5月开盘，2016年下半年交房。</w:t>
            </w:r>
          </w:p>
          <w:p>
            <w:pPr>
              <w:pStyle w:val="3"/>
              <w:keepNext w:val="0"/>
              <w:keepLines w:val="0"/>
              <w:widowControl/>
              <w:suppressLineNumbers w:val="0"/>
              <w:spacing w:line="413" w:lineRule="atLeast"/>
            </w:pPr>
            <w:r>
              <w:rPr>
                <w:rFonts w:hint="eastAsia" w:ascii="宋体" w:hAnsi="宋体" w:eastAsia="宋体" w:cs="宋体"/>
                <w:b/>
                <w:caps w:val="0"/>
                <w:spacing w:val="0"/>
                <w:sz w:val="20"/>
                <w:szCs w:val="20"/>
                <w:lang w:val="en-US"/>
              </w:rPr>
              <w:t>     □ 项目点评：</w:t>
            </w:r>
            <w:r>
              <w:rPr>
                <w:rFonts w:hint="eastAsia" w:ascii="宋体" w:hAnsi="宋体" w:eastAsia="宋体" w:cs="宋体"/>
                <w:caps w:val="0"/>
                <w:spacing w:val="0"/>
                <w:sz w:val="20"/>
                <w:szCs w:val="20"/>
                <w:lang w:val="en-US"/>
              </w:rPr>
              <w:t>紧邻黄柏河，拥有较好的景观资源；但交通不是很便利，周边生活配套欠完善；且近临采沙场，对居住品质有一定影响；目前施工比较缓慢，交楼时间将会拉长。</w:t>
            </w:r>
          </w:p>
          <w:p>
            <w:pPr>
              <w:pStyle w:val="3"/>
              <w:keepNext w:val="0"/>
              <w:keepLines w:val="0"/>
              <w:widowControl/>
              <w:suppressLineNumbers w:val="0"/>
              <w:spacing w:line="413" w:lineRule="atLeast"/>
            </w:pPr>
            <w:r>
              <w:rPr>
                <w:caps w:val="0"/>
                <w:spacing w:val="0"/>
                <w:lang w:val="en-US"/>
              </w:rPr>
              <w:t>    </w:t>
            </w:r>
            <w:r>
              <w:rPr>
                <w:caps w:val="0"/>
                <w:spacing w:val="0"/>
                <w:lang w:val="en-US"/>
              </w:rPr>
              <w:drawing>
                <wp:inline distT="0" distB="0" distL="114300" distR="114300">
                  <wp:extent cx="1590675" cy="2009775"/>
                  <wp:effectExtent l="0" t="0" r="9525" b="1905"/>
                  <wp:docPr id="14"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IMG_271"/>
                          <pic:cNvPicPr>
                            <a:picLocks noChangeAspect="1"/>
                          </pic:cNvPicPr>
                        </pic:nvPicPr>
                        <pic:blipFill>
                          <a:blip r:embed="rId19"/>
                          <a:stretch>
                            <a:fillRect/>
                          </a:stretch>
                        </pic:blipFill>
                        <pic:spPr>
                          <a:xfrm>
                            <a:off x="0" y="0"/>
                            <a:ext cx="1590675" cy="2009775"/>
                          </a:xfrm>
                          <a:prstGeom prst="rect">
                            <a:avLst/>
                          </a:prstGeom>
                          <a:noFill/>
                          <a:ln w="9525">
                            <a:noFill/>
                          </a:ln>
                        </pic:spPr>
                      </pic:pic>
                    </a:graphicData>
                  </a:graphic>
                </wp:inline>
              </w:drawing>
            </w:r>
            <w:r>
              <w:rPr>
                <w:caps w:val="0"/>
                <w:spacing w:val="0"/>
                <w:lang w:val="en-US"/>
              </w:rPr>
              <w:drawing>
                <wp:inline distT="0" distB="0" distL="114300" distR="114300">
                  <wp:extent cx="1571625" cy="2009775"/>
                  <wp:effectExtent l="0" t="0" r="13335" b="1905"/>
                  <wp:docPr id="24"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IMG_272"/>
                          <pic:cNvPicPr>
                            <a:picLocks noChangeAspect="1"/>
                          </pic:cNvPicPr>
                        </pic:nvPicPr>
                        <pic:blipFill>
                          <a:blip r:embed="rId20"/>
                          <a:stretch>
                            <a:fillRect/>
                          </a:stretch>
                        </pic:blipFill>
                        <pic:spPr>
                          <a:xfrm>
                            <a:off x="0" y="0"/>
                            <a:ext cx="1571625" cy="2009775"/>
                          </a:xfrm>
                          <a:prstGeom prst="rect">
                            <a:avLst/>
                          </a:prstGeom>
                          <a:noFill/>
                          <a:ln w="9525">
                            <a:noFill/>
                          </a:ln>
                        </pic:spPr>
                      </pic:pic>
                    </a:graphicData>
                  </a:graphic>
                </wp:inline>
              </w:drawing>
            </w:r>
            <w:r>
              <w:rPr>
                <w:caps w:val="0"/>
                <w:spacing w:val="0"/>
                <w:lang w:val="en-US"/>
              </w:rPr>
              <w:drawing>
                <wp:inline distT="0" distB="0" distL="114300" distR="114300">
                  <wp:extent cx="1790700" cy="2009775"/>
                  <wp:effectExtent l="0" t="0" r="7620" b="1905"/>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21"/>
                          <a:stretch>
                            <a:fillRect/>
                          </a:stretch>
                        </pic:blipFill>
                        <pic:spPr>
                          <a:xfrm>
                            <a:off x="0" y="0"/>
                            <a:ext cx="1790700" cy="2009775"/>
                          </a:xfrm>
                          <a:prstGeom prst="rect">
                            <a:avLst/>
                          </a:prstGeom>
                          <a:noFill/>
                          <a:ln w="9525">
                            <a:noFill/>
                          </a:ln>
                        </pic:spPr>
                      </pic:pic>
                    </a:graphicData>
                  </a:graphic>
                </wp:inline>
              </w:drawing>
            </w:r>
          </w:p>
          <w:p>
            <w:pPr>
              <w:pStyle w:val="3"/>
              <w:keepNext w:val="0"/>
              <w:keepLines w:val="0"/>
              <w:widowControl/>
              <w:suppressLineNumbers w:val="0"/>
              <w:spacing w:line="413" w:lineRule="atLeast"/>
              <w:ind w:left="0" w:firstLine="602"/>
            </w:pPr>
            <w:bookmarkStart w:id="36" w:name="_Toc389951431"/>
            <w:r>
              <w:rPr>
                <w:rFonts w:hint="eastAsia" w:ascii="宋体" w:hAnsi="宋体" w:eastAsia="宋体" w:cs="宋体"/>
                <w:caps w:val="0"/>
                <w:spacing w:val="0"/>
                <w:sz w:val="20"/>
                <w:szCs w:val="20"/>
                <w:lang w:val="en-US"/>
              </w:rPr>
              <w:t>五、猇亭区</w:t>
            </w:r>
            <w:bookmarkEnd w:id="36"/>
          </w:p>
          <w:p>
            <w:pPr>
              <w:pStyle w:val="3"/>
              <w:keepNext w:val="0"/>
              <w:keepLines w:val="0"/>
              <w:widowControl/>
              <w:suppressLineNumbers w:val="0"/>
              <w:spacing w:line="413" w:lineRule="atLeast"/>
            </w:pPr>
            <w:r>
              <w:rPr>
                <w:rFonts w:hint="eastAsia" w:ascii="宋体" w:hAnsi="宋体" w:eastAsia="宋体" w:cs="宋体"/>
                <w:b/>
                <w:caps w:val="0"/>
                <w:spacing w:val="0"/>
                <w:sz w:val="20"/>
                <w:szCs w:val="20"/>
                <w:shd w:val="clear" w:fill="E5E5E5"/>
                <w:lang w:val="en-US"/>
              </w:rPr>
              <w:t>区内主要在售楼盘动态</w:t>
            </w:r>
          </w:p>
          <w:p>
            <w:pPr>
              <w:pStyle w:val="3"/>
              <w:keepNext w:val="0"/>
              <w:keepLines w:val="0"/>
              <w:widowControl/>
              <w:suppressLineNumbers w:val="0"/>
              <w:spacing w:line="413" w:lineRule="atLeast"/>
            </w:pPr>
            <w:r>
              <w:rPr>
                <w:rFonts w:hint="eastAsia" w:ascii="宋体" w:hAnsi="宋体" w:eastAsia="宋体" w:cs="宋体"/>
                <w:b/>
                <w:caps w:val="0"/>
                <w:spacing w:val="0"/>
                <w:sz w:val="20"/>
                <w:szCs w:val="20"/>
                <w:shd w:val="clear" w:fill="E5E5E5"/>
                <w:lang w:val="en-US"/>
              </w:rPr>
              <w:t>     </w:t>
            </w:r>
            <w:r>
              <w:rPr>
                <w:rFonts w:hint="eastAsia" w:ascii="宋体" w:hAnsi="宋体" w:eastAsia="宋体" w:cs="宋体"/>
                <w:b/>
                <w:caps w:val="0"/>
                <w:spacing w:val="0"/>
                <w:sz w:val="20"/>
                <w:szCs w:val="20"/>
                <w:shd w:val="clear" w:fill="E5E5E5"/>
                <w:lang w:val="en-US"/>
              </w:rPr>
              <w:drawing>
                <wp:inline distT="0" distB="0" distL="114300" distR="114300">
                  <wp:extent cx="5067300" cy="2381250"/>
                  <wp:effectExtent l="0" t="0" r="7620" b="11430"/>
                  <wp:docPr id="21"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IMG_274"/>
                          <pic:cNvPicPr>
                            <a:picLocks noChangeAspect="1"/>
                          </pic:cNvPicPr>
                        </pic:nvPicPr>
                        <pic:blipFill>
                          <a:blip r:embed="rId22"/>
                          <a:stretch>
                            <a:fillRect/>
                          </a:stretch>
                        </pic:blipFill>
                        <pic:spPr>
                          <a:xfrm>
                            <a:off x="0" y="0"/>
                            <a:ext cx="5067300" cy="2381250"/>
                          </a:xfrm>
                          <a:prstGeom prst="rect">
                            <a:avLst/>
                          </a:prstGeom>
                          <a:noFill/>
                          <a:ln w="9525">
                            <a:noFill/>
                          </a:ln>
                        </pic:spPr>
                      </pic:pic>
                    </a:graphicData>
                  </a:graphic>
                </wp:inline>
              </w:drawing>
            </w:r>
          </w:p>
          <w:p>
            <w:pPr>
              <w:pStyle w:val="3"/>
              <w:keepNext w:val="0"/>
              <w:keepLines w:val="0"/>
              <w:widowControl/>
              <w:suppressLineNumbers w:val="0"/>
              <w:spacing w:line="413" w:lineRule="atLeast"/>
            </w:pPr>
            <w:bookmarkStart w:id="37" w:name="_Toc389951432"/>
            <w:bookmarkEnd w:id="37"/>
            <w:bookmarkStart w:id="38" w:name="_Toc384797630"/>
            <w:bookmarkEnd w:id="38"/>
            <w:bookmarkStart w:id="39" w:name="_Toc384797314"/>
            <w:bookmarkEnd w:id="39"/>
            <w:bookmarkStart w:id="40" w:name="_Toc384797232"/>
            <w:bookmarkEnd w:id="40"/>
            <w:bookmarkStart w:id="41" w:name="_Toc384796973"/>
            <w:bookmarkEnd w:id="41"/>
            <w:bookmarkStart w:id="42" w:name="_Toc380050046"/>
            <w:r>
              <w:rPr>
                <w:rFonts w:hint="eastAsia" w:ascii="宋体" w:hAnsi="宋体" w:eastAsia="宋体" w:cs="宋体"/>
                <w:caps w:val="0"/>
                <w:spacing w:val="0"/>
                <w:sz w:val="20"/>
                <w:szCs w:val="20"/>
                <w:shd w:val="clear" w:fill="E5E5E5"/>
                <w:lang w:val="en-US"/>
              </w:rPr>
              <w:t>六、点军区</w:t>
            </w:r>
            <w:bookmarkEnd w:id="42"/>
          </w:p>
          <w:p>
            <w:pPr>
              <w:keepNext w:val="0"/>
              <w:keepLines w:val="0"/>
              <w:widowControl/>
              <w:suppressLineNumbers w:val="0"/>
              <w:shd w:val="clear" w:fill="E5E5E5"/>
              <w:spacing w:line="413" w:lineRule="atLeast"/>
              <w:ind w:left="0" w:firstLine="0"/>
              <w:jc w:val="left"/>
              <w:rPr>
                <w:rFonts w:hint="eastAsia" w:ascii="宋体" w:hAnsi="宋体" w:eastAsia="宋体" w:cs="宋体"/>
                <w:b/>
                <w:caps w:val="0"/>
                <w:spacing w:val="0"/>
                <w:sz w:val="28"/>
                <w:szCs w:val="28"/>
                <w:lang w:val="en-US"/>
              </w:rPr>
            </w:pPr>
            <w:bookmarkStart w:id="43" w:name="_Toc384797315"/>
            <w:r>
              <w:rPr>
                <w:rFonts w:hint="eastAsia" w:ascii="宋体" w:hAnsi="宋体" w:eastAsia="宋体" w:cs="宋体"/>
                <w:b/>
                <w:caps w:val="0"/>
                <w:spacing w:val="0"/>
                <w:kern w:val="0"/>
                <w:sz w:val="20"/>
                <w:szCs w:val="20"/>
                <w:shd w:val="clear" w:fill="E5E5E5"/>
                <w:lang w:val="en-US" w:eastAsia="zh-CN" w:bidi="ar"/>
              </w:rPr>
              <w:t>区内主要在售楼盘动态：</w:t>
            </w:r>
            <w:bookmarkEnd w:id="43"/>
          </w:p>
          <w:p>
            <w:pPr>
              <w:keepNext w:val="0"/>
              <w:keepLines w:val="0"/>
              <w:widowControl/>
              <w:suppressLineNumbers w:val="0"/>
              <w:shd w:val="clear" w:fill="E5E5E5"/>
              <w:spacing w:line="413" w:lineRule="atLeast"/>
              <w:ind w:left="0" w:firstLine="0"/>
              <w:jc w:val="left"/>
              <w:rPr>
                <w:rFonts w:hint="eastAsia" w:ascii="宋体" w:hAnsi="宋体" w:eastAsia="宋体" w:cs="宋体"/>
                <w:b/>
                <w:caps w:val="0"/>
                <w:spacing w:val="0"/>
                <w:sz w:val="28"/>
                <w:szCs w:val="28"/>
                <w:lang w:val="en-US"/>
              </w:rPr>
            </w:pPr>
            <w:r>
              <w:rPr>
                <w:rFonts w:hint="eastAsia" w:ascii="宋体" w:hAnsi="宋体" w:eastAsia="宋体" w:cs="宋体"/>
                <w:b/>
                <w:caps w:val="0"/>
                <w:spacing w:val="0"/>
                <w:kern w:val="0"/>
                <w:sz w:val="28"/>
                <w:szCs w:val="28"/>
                <w:shd w:val="clear" w:fill="E5E5E5"/>
                <w:lang w:val="en-US" w:eastAsia="zh-CN" w:bidi="ar"/>
              </w:rPr>
              <w:t>       </w:t>
            </w:r>
            <w:r>
              <w:rPr>
                <w:rFonts w:hint="eastAsia" w:ascii="宋体" w:hAnsi="宋体" w:eastAsia="宋体" w:cs="宋体"/>
                <w:b/>
                <w:caps w:val="0"/>
                <w:spacing w:val="0"/>
                <w:kern w:val="0"/>
                <w:sz w:val="28"/>
                <w:szCs w:val="28"/>
                <w:shd w:val="clear" w:fill="E5E5E5"/>
                <w:lang w:val="en-US" w:eastAsia="zh-CN" w:bidi="ar"/>
              </w:rPr>
              <w:drawing>
                <wp:inline distT="0" distB="0" distL="114300" distR="114300">
                  <wp:extent cx="5305425" cy="1952625"/>
                  <wp:effectExtent l="0" t="0" r="13335" b="13335"/>
                  <wp:docPr id="25"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descr="IMG_275"/>
                          <pic:cNvPicPr>
                            <a:picLocks noChangeAspect="1"/>
                          </pic:cNvPicPr>
                        </pic:nvPicPr>
                        <pic:blipFill>
                          <a:blip r:embed="rId23"/>
                          <a:stretch>
                            <a:fillRect/>
                          </a:stretch>
                        </pic:blipFill>
                        <pic:spPr>
                          <a:xfrm>
                            <a:off x="0" y="0"/>
                            <a:ext cx="5305425" cy="1952625"/>
                          </a:xfrm>
                          <a:prstGeom prst="rect">
                            <a:avLst/>
                          </a:prstGeom>
                          <a:noFill/>
                          <a:ln w="9525">
                            <a:noFill/>
                          </a:ln>
                        </pic:spPr>
                      </pic:pic>
                    </a:graphicData>
                  </a:graphic>
                </wp:inline>
              </w:drawing>
            </w:r>
          </w:p>
          <w:p>
            <w:pPr>
              <w:pStyle w:val="2"/>
              <w:keepNext w:val="0"/>
              <w:keepLines w:val="0"/>
              <w:widowControl/>
              <w:suppressLineNumbers w:val="0"/>
              <w:spacing w:line="413" w:lineRule="atLeast"/>
              <w:jc w:val="center"/>
            </w:pPr>
            <w:r>
              <w:rPr>
                <w:rFonts w:hint="eastAsia" w:ascii="宋体" w:hAnsi="宋体" w:eastAsia="宋体" w:cs="宋体"/>
                <w:caps w:val="0"/>
                <w:spacing w:val="0"/>
                <w:sz w:val="27"/>
                <w:szCs w:val="27"/>
                <w:shd w:val="clear" w:fill="E5E5E5"/>
                <w:lang w:val="en-US"/>
              </w:rPr>
              <w:t>第四部分  媒体监测</w:t>
            </w:r>
          </w:p>
          <w:p>
            <w:pPr>
              <w:pStyle w:val="3"/>
              <w:keepNext w:val="0"/>
              <w:keepLines w:val="0"/>
              <w:widowControl/>
              <w:suppressLineNumbers w:val="0"/>
              <w:spacing w:line="413" w:lineRule="atLeast"/>
            </w:pPr>
            <w:bookmarkStart w:id="44" w:name="_Toc389951434"/>
            <w:bookmarkEnd w:id="44"/>
            <w:bookmarkStart w:id="45" w:name="_Toc380050048"/>
            <w:bookmarkEnd w:id="45"/>
            <w:bookmarkStart w:id="46" w:name="_Toc353178142"/>
            <w:bookmarkEnd w:id="46"/>
            <w:bookmarkStart w:id="47" w:name="_Toc347757555"/>
            <w:bookmarkEnd w:id="47"/>
            <w:r>
              <w:rPr>
                <w:caps w:val="0"/>
                <w:spacing w:val="0"/>
                <w:shd w:val="clear" w:fill="E5E5E5"/>
                <w:lang w:val="en-US"/>
              </w:rPr>
              <w:t>   </w:t>
            </w:r>
            <w:bookmarkStart w:id="48" w:name="_Toc345167239"/>
            <w:r>
              <w:rPr>
                <w:rFonts w:hint="eastAsia" w:ascii="宋体" w:hAnsi="宋体" w:eastAsia="宋体" w:cs="宋体"/>
                <w:caps w:val="0"/>
                <w:spacing w:val="0"/>
                <w:sz w:val="20"/>
                <w:szCs w:val="20"/>
                <w:shd w:val="clear" w:fill="E5E5E5"/>
                <w:lang w:val="en-US"/>
              </w:rPr>
              <w:t>一、纸媒投放情况</w:t>
            </w:r>
            <w:bookmarkEnd w:id="48"/>
          </w:p>
          <w:p>
            <w:pPr>
              <w:keepNext w:val="0"/>
              <w:keepLines w:val="0"/>
              <w:widowControl/>
              <w:suppressLineNumbers w:val="0"/>
              <w:shd w:val="clear" w:fill="E5E5E5"/>
              <w:spacing w:line="413" w:lineRule="atLeast"/>
              <w:ind w:left="0" w:firstLine="0"/>
              <w:jc w:val="left"/>
              <w:rPr>
                <w:rFonts w:hint="eastAsia" w:ascii="宋体" w:hAnsi="宋体" w:eastAsia="宋体" w:cs="宋体"/>
                <w:b/>
                <w:caps w:val="0"/>
                <w:spacing w:val="0"/>
                <w:sz w:val="28"/>
                <w:szCs w:val="28"/>
                <w:lang w:val="en-US"/>
              </w:rPr>
            </w:pPr>
            <w:r>
              <w:rPr>
                <w:rFonts w:hint="eastAsia" w:ascii="宋体" w:hAnsi="宋体" w:eastAsia="宋体" w:cs="宋体"/>
                <w:b/>
                <w:caps w:val="0"/>
                <w:spacing w:val="0"/>
                <w:kern w:val="0"/>
                <w:sz w:val="20"/>
                <w:szCs w:val="20"/>
                <w:shd w:val="clear" w:fill="E5E5E5"/>
                <w:lang w:val="en-US" w:eastAsia="zh-CN" w:bidi="ar"/>
              </w:rPr>
              <w:t>    本月截止到30日，共有18个地产项目投放报纸广告，共计136篇。本月广告投放量较大的主要有恒大帝景、宜化新天地、月星国际城、恒大绿洲、美联御江一品等楼盘。</w:t>
            </w:r>
          </w:p>
          <w:p>
            <w:pPr>
              <w:pStyle w:val="3"/>
              <w:keepNext w:val="0"/>
              <w:keepLines w:val="0"/>
              <w:widowControl/>
              <w:suppressLineNumbers w:val="0"/>
              <w:spacing w:line="413" w:lineRule="atLeast"/>
            </w:pPr>
            <w:bookmarkStart w:id="49" w:name="_Toc389951435"/>
            <w:bookmarkEnd w:id="49"/>
            <w:bookmarkStart w:id="50" w:name="_Toc380050049"/>
            <w:bookmarkEnd w:id="50"/>
            <w:bookmarkStart w:id="51" w:name="_Toc353178143"/>
            <w:bookmarkEnd w:id="51"/>
            <w:bookmarkStart w:id="52" w:name="_Toc347757556"/>
            <w:bookmarkEnd w:id="52"/>
            <w:r>
              <w:rPr>
                <w:caps w:val="0"/>
                <w:spacing w:val="0"/>
                <w:shd w:val="clear" w:fill="E5E5E5"/>
                <w:lang w:val="en-US"/>
              </w:rPr>
              <w:t>  </w:t>
            </w:r>
            <w:bookmarkStart w:id="53" w:name="_Toc345167240"/>
            <w:r>
              <w:rPr>
                <w:rFonts w:hint="eastAsia" w:ascii="宋体" w:hAnsi="宋体" w:eastAsia="宋体" w:cs="宋体"/>
                <w:caps w:val="0"/>
                <w:spacing w:val="0"/>
                <w:sz w:val="20"/>
                <w:szCs w:val="20"/>
                <w:shd w:val="clear" w:fill="E5E5E5"/>
                <w:lang w:val="en-US"/>
              </w:rPr>
              <w:t>二、纸媒投放数据监测</w:t>
            </w:r>
            <w:bookmarkEnd w:id="53"/>
          </w:p>
          <w:p>
            <w:pPr>
              <w:keepNext w:val="0"/>
              <w:keepLines w:val="0"/>
              <w:widowControl/>
              <w:suppressLineNumbers w:val="0"/>
              <w:shd w:val="clear" w:fill="E5E5E5"/>
              <w:spacing w:line="413" w:lineRule="atLeast"/>
              <w:ind w:left="0" w:firstLine="0"/>
              <w:jc w:val="left"/>
              <w:rPr>
                <w:rFonts w:hint="eastAsia" w:ascii="宋体" w:hAnsi="宋体" w:eastAsia="宋体" w:cs="宋体"/>
                <w:b/>
                <w:caps w:val="0"/>
                <w:spacing w:val="0"/>
                <w:sz w:val="28"/>
                <w:szCs w:val="28"/>
                <w:lang w:val="en-US"/>
              </w:rPr>
            </w:pPr>
            <w:r>
              <w:rPr>
                <w:rFonts w:hint="eastAsia" w:ascii="宋体" w:hAnsi="宋体" w:eastAsia="宋体" w:cs="宋体"/>
                <w:b/>
                <w:caps w:val="0"/>
                <w:spacing w:val="0"/>
                <w:kern w:val="0"/>
                <w:sz w:val="20"/>
                <w:szCs w:val="20"/>
                <w:shd w:val="clear" w:fill="E5E5E5"/>
                <w:lang w:val="en-US" w:eastAsia="zh-CN" w:bidi="ar"/>
              </w:rPr>
              <w:t>   1、报广投放时间段分析</w:t>
            </w:r>
          </w:p>
          <w:p>
            <w:pPr>
              <w:keepNext w:val="0"/>
              <w:keepLines w:val="0"/>
              <w:widowControl/>
              <w:suppressLineNumbers w:val="0"/>
              <w:shd w:val="clear" w:fill="E5E5E5"/>
              <w:spacing w:line="413" w:lineRule="atLeast"/>
              <w:ind w:left="0" w:firstLine="0"/>
              <w:jc w:val="center"/>
              <w:rPr>
                <w:rFonts w:hint="eastAsia" w:ascii="宋体" w:hAnsi="宋体" w:eastAsia="宋体" w:cs="宋体"/>
                <w:b/>
                <w:caps w:val="0"/>
                <w:spacing w:val="0"/>
                <w:sz w:val="28"/>
                <w:szCs w:val="28"/>
                <w:lang w:val="en-US"/>
              </w:rPr>
            </w:pPr>
            <w:r>
              <w:rPr>
                <w:rFonts w:hint="eastAsia" w:ascii="宋体" w:hAnsi="宋体" w:eastAsia="宋体" w:cs="宋体"/>
                <w:b/>
                <w:caps w:val="0"/>
                <w:spacing w:val="0"/>
                <w:kern w:val="0"/>
                <w:sz w:val="20"/>
                <w:szCs w:val="20"/>
                <w:shd w:val="clear" w:fill="E5E5E5"/>
                <w:lang w:val="en-US" w:eastAsia="zh-CN" w:bidi="ar"/>
              </w:rPr>
              <w:t>本月投放量统计</w:t>
            </w:r>
          </w:p>
          <w:p>
            <w:pPr>
              <w:keepNext w:val="0"/>
              <w:keepLines w:val="0"/>
              <w:widowControl/>
              <w:suppressLineNumbers w:val="0"/>
              <w:shd w:val="clear" w:fill="E5E5E5"/>
              <w:spacing w:line="413" w:lineRule="atLeast"/>
              <w:ind w:left="0" w:firstLine="0"/>
              <w:jc w:val="center"/>
              <w:rPr>
                <w:rFonts w:hint="eastAsia" w:ascii="宋体" w:hAnsi="宋体" w:eastAsia="宋体" w:cs="宋体"/>
                <w:b/>
                <w:caps w:val="0"/>
                <w:spacing w:val="0"/>
                <w:sz w:val="28"/>
                <w:szCs w:val="28"/>
                <w:lang w:val="en-US"/>
              </w:rPr>
            </w:pPr>
            <w:r>
              <w:rPr>
                <w:rFonts w:hint="eastAsia" w:ascii="宋体" w:hAnsi="宋体" w:eastAsia="宋体" w:cs="宋体"/>
                <w:b/>
                <w:caps w:val="0"/>
                <w:spacing w:val="0"/>
                <w:kern w:val="0"/>
                <w:sz w:val="20"/>
                <w:szCs w:val="20"/>
                <w:shd w:val="clear" w:fill="E5E5E5"/>
                <w:lang w:val="en-US" w:eastAsia="zh-CN" w:bidi="ar"/>
              </w:rPr>
              <w:drawing>
                <wp:inline distT="0" distB="0" distL="114300" distR="114300">
                  <wp:extent cx="2400300" cy="1638300"/>
                  <wp:effectExtent l="0" t="0" r="7620" b="7620"/>
                  <wp:docPr id="13"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IMG_276"/>
                          <pic:cNvPicPr>
                            <a:picLocks noChangeAspect="1"/>
                          </pic:cNvPicPr>
                        </pic:nvPicPr>
                        <pic:blipFill>
                          <a:blip r:embed="rId24"/>
                          <a:stretch>
                            <a:fillRect/>
                          </a:stretch>
                        </pic:blipFill>
                        <pic:spPr>
                          <a:xfrm>
                            <a:off x="0" y="0"/>
                            <a:ext cx="2400300" cy="1638300"/>
                          </a:xfrm>
                          <a:prstGeom prst="rect">
                            <a:avLst/>
                          </a:prstGeom>
                          <a:noFill/>
                          <a:ln w="9525">
                            <a:noFill/>
                          </a:ln>
                        </pic:spPr>
                      </pic:pic>
                    </a:graphicData>
                  </a:graphic>
                </wp:inline>
              </w:drawing>
            </w:r>
            <w:r>
              <w:rPr>
                <w:rFonts w:hint="eastAsia" w:ascii="宋体" w:hAnsi="宋体" w:eastAsia="宋体" w:cs="宋体"/>
                <w:b/>
                <w:caps w:val="0"/>
                <w:spacing w:val="0"/>
                <w:kern w:val="0"/>
                <w:sz w:val="20"/>
                <w:szCs w:val="20"/>
                <w:shd w:val="clear" w:fill="E5E5E5"/>
                <w:lang w:val="en-US" w:eastAsia="zh-CN" w:bidi="ar"/>
              </w:rPr>
              <w:drawing>
                <wp:inline distT="0" distB="0" distL="114300" distR="114300">
                  <wp:extent cx="2400300" cy="1638300"/>
                  <wp:effectExtent l="0" t="0" r="7620" b="7620"/>
                  <wp:docPr id="29"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descr="IMG_277"/>
                          <pic:cNvPicPr>
                            <a:picLocks noChangeAspect="1"/>
                          </pic:cNvPicPr>
                        </pic:nvPicPr>
                        <pic:blipFill>
                          <a:blip r:embed="rId25"/>
                          <a:stretch>
                            <a:fillRect/>
                          </a:stretch>
                        </pic:blipFill>
                        <pic:spPr>
                          <a:xfrm>
                            <a:off x="0" y="0"/>
                            <a:ext cx="2400300" cy="1638300"/>
                          </a:xfrm>
                          <a:prstGeom prst="rect">
                            <a:avLst/>
                          </a:prstGeom>
                          <a:noFill/>
                          <a:ln w="9525">
                            <a:noFill/>
                          </a:ln>
                        </pic:spPr>
                      </pic:pic>
                    </a:graphicData>
                  </a:graphic>
                </wp:inline>
              </w:drawing>
            </w:r>
          </w:p>
          <w:p>
            <w:pPr>
              <w:keepNext w:val="0"/>
              <w:keepLines w:val="0"/>
              <w:widowControl/>
              <w:suppressLineNumbers w:val="0"/>
              <w:shd w:val="clear" w:fill="E5E5E5"/>
              <w:spacing w:line="413" w:lineRule="atLeast"/>
              <w:ind w:left="0" w:firstLine="0"/>
              <w:jc w:val="center"/>
              <w:rPr>
                <w:rFonts w:hint="eastAsia" w:ascii="宋体" w:hAnsi="宋体" w:eastAsia="宋体" w:cs="宋体"/>
                <w:b/>
                <w:caps w:val="0"/>
                <w:spacing w:val="0"/>
                <w:sz w:val="28"/>
                <w:szCs w:val="28"/>
                <w:lang w:val="en-US"/>
              </w:rPr>
            </w:pPr>
            <w:r>
              <w:rPr>
                <w:rFonts w:hint="eastAsia" w:ascii="宋体" w:hAnsi="宋体" w:eastAsia="宋体" w:cs="宋体"/>
                <w:b/>
                <w:caps w:val="0"/>
                <w:spacing w:val="0"/>
                <w:kern w:val="0"/>
                <w:sz w:val="28"/>
                <w:szCs w:val="28"/>
                <w:shd w:val="clear" w:fill="E5E5E5"/>
                <w:lang w:val="en-US" w:eastAsia="zh-CN" w:bidi="ar"/>
              </w:rPr>
              <w:t> </w:t>
            </w:r>
          </w:p>
          <w:p>
            <w:pPr>
              <w:keepNext w:val="0"/>
              <w:keepLines w:val="0"/>
              <w:widowControl/>
              <w:suppressLineNumbers w:val="0"/>
              <w:shd w:val="clear" w:fill="E5E5E5"/>
              <w:spacing w:line="413" w:lineRule="atLeast"/>
              <w:ind w:left="0" w:firstLine="0"/>
              <w:jc w:val="left"/>
              <w:rPr>
                <w:rFonts w:hint="eastAsia" w:ascii="宋体" w:hAnsi="宋体" w:eastAsia="宋体" w:cs="宋体"/>
                <w:b/>
                <w:caps w:val="0"/>
                <w:spacing w:val="0"/>
                <w:sz w:val="20"/>
                <w:szCs w:val="20"/>
                <w:lang w:val="en-US"/>
              </w:rPr>
            </w:pPr>
            <w:r>
              <w:rPr>
                <w:rFonts w:hint="eastAsia" w:ascii="宋体" w:hAnsi="宋体" w:eastAsia="宋体" w:cs="宋体"/>
                <w:b/>
                <w:caps w:val="0"/>
                <w:spacing w:val="0"/>
                <w:kern w:val="0"/>
                <w:sz w:val="20"/>
                <w:szCs w:val="20"/>
                <w:shd w:val="clear" w:fill="E5E5E5"/>
                <w:lang w:val="en-US" w:eastAsia="zh-CN" w:bidi="ar"/>
              </w:rPr>
              <w:t>      本月报广投放量从时间上来看，主要集中在6月6日、6月20日、6月26日、6月27日、6月30日这5个时间点，主要集中在周五。其中27日投放量达到巅峰，共计16篇，主要是6月28日做活动的项目较多。</w:t>
            </w:r>
          </w:p>
          <w:p>
            <w:pPr>
              <w:keepNext w:val="0"/>
              <w:keepLines w:val="0"/>
              <w:widowControl/>
              <w:suppressLineNumbers w:val="0"/>
              <w:shd w:val="clear" w:fill="E5E5E5"/>
              <w:spacing w:line="413" w:lineRule="atLeast"/>
              <w:ind w:left="0" w:firstLine="0"/>
              <w:jc w:val="left"/>
              <w:rPr>
                <w:rFonts w:hint="eastAsia" w:ascii="宋体" w:hAnsi="宋体" w:eastAsia="宋体" w:cs="宋体"/>
                <w:b/>
                <w:caps w:val="0"/>
                <w:spacing w:val="0"/>
                <w:sz w:val="20"/>
                <w:szCs w:val="20"/>
                <w:lang w:val="en-US"/>
              </w:rPr>
            </w:pPr>
            <w:r>
              <w:rPr>
                <w:rFonts w:hint="eastAsia" w:ascii="宋体" w:hAnsi="宋体" w:eastAsia="宋体" w:cs="宋体"/>
                <w:b/>
                <w:caps w:val="0"/>
                <w:spacing w:val="0"/>
                <w:kern w:val="0"/>
                <w:sz w:val="20"/>
                <w:szCs w:val="20"/>
                <w:shd w:val="clear" w:fill="E5E5E5"/>
                <w:lang w:val="en-US" w:eastAsia="zh-CN" w:bidi="ar"/>
              </w:rPr>
              <w:t>     2、投放媒体及版面分析</w:t>
            </w:r>
          </w:p>
          <w:p>
            <w:pPr>
              <w:keepNext w:val="0"/>
              <w:keepLines w:val="0"/>
              <w:widowControl/>
              <w:suppressLineNumbers w:val="0"/>
              <w:shd w:val="clear" w:fill="E5E5E5"/>
              <w:spacing w:line="413" w:lineRule="atLeast"/>
              <w:ind w:left="0" w:firstLine="0"/>
              <w:jc w:val="center"/>
              <w:rPr>
                <w:rFonts w:hint="eastAsia" w:ascii="宋体" w:hAnsi="宋体" w:eastAsia="宋体" w:cs="宋体"/>
                <w:b/>
                <w:caps w:val="0"/>
                <w:spacing w:val="0"/>
                <w:sz w:val="20"/>
                <w:szCs w:val="20"/>
                <w:lang w:val="en-US"/>
              </w:rPr>
            </w:pPr>
            <w:r>
              <w:rPr>
                <w:rFonts w:hint="eastAsia" w:ascii="宋体" w:hAnsi="宋体" w:eastAsia="宋体" w:cs="宋体"/>
                <w:b/>
                <w:caps w:val="0"/>
                <w:spacing w:val="0"/>
                <w:kern w:val="0"/>
                <w:sz w:val="20"/>
                <w:szCs w:val="20"/>
                <w:shd w:val="clear" w:fill="E5E5E5"/>
                <w:lang w:val="en-US" w:eastAsia="zh-CN" w:bidi="ar"/>
              </w:rPr>
              <w:t>投放媒体及版面统计</w:t>
            </w:r>
          </w:p>
          <w:p>
            <w:pPr>
              <w:pStyle w:val="4"/>
              <w:keepNext w:val="0"/>
              <w:keepLines w:val="0"/>
              <w:widowControl/>
              <w:suppressLineNumbers w:val="0"/>
              <w:spacing w:line="413" w:lineRule="atLeast"/>
              <w:jc w:val="left"/>
            </w:pPr>
            <w:r>
              <w:rPr>
                <w:rFonts w:hint="eastAsia" w:ascii="宋体" w:hAnsi="宋体" w:eastAsia="宋体" w:cs="宋体"/>
                <w:b/>
                <w:caps w:val="0"/>
                <w:spacing w:val="0"/>
                <w:sz w:val="20"/>
                <w:szCs w:val="20"/>
                <w:shd w:val="clear" w:fill="E5E5E5"/>
                <w:lang w:val="en-US"/>
              </w:rPr>
              <w:t>      </w:t>
            </w:r>
            <w:r>
              <w:rPr>
                <w:rFonts w:hint="eastAsia" w:ascii="宋体" w:hAnsi="宋体" w:eastAsia="宋体" w:cs="宋体"/>
                <w:b/>
                <w:caps w:val="0"/>
                <w:spacing w:val="0"/>
                <w:sz w:val="20"/>
                <w:szCs w:val="20"/>
                <w:shd w:val="clear" w:fill="E5E5E5"/>
                <w:lang w:val="en-US"/>
              </w:rPr>
              <w:drawing>
                <wp:inline distT="0" distB="0" distL="114300" distR="114300">
                  <wp:extent cx="5276850" cy="1866900"/>
                  <wp:effectExtent l="0" t="0" r="11430" b="7620"/>
                  <wp:docPr id="26"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descr="IMG_278"/>
                          <pic:cNvPicPr>
                            <a:picLocks noChangeAspect="1"/>
                          </pic:cNvPicPr>
                        </pic:nvPicPr>
                        <pic:blipFill>
                          <a:blip r:embed="rId26"/>
                          <a:stretch>
                            <a:fillRect/>
                          </a:stretch>
                        </pic:blipFill>
                        <pic:spPr>
                          <a:xfrm>
                            <a:off x="0" y="0"/>
                            <a:ext cx="5276850" cy="1866900"/>
                          </a:xfrm>
                          <a:prstGeom prst="rect">
                            <a:avLst/>
                          </a:prstGeom>
                          <a:noFill/>
                          <a:ln w="9525">
                            <a:noFill/>
                          </a:ln>
                        </pic:spPr>
                      </pic:pic>
                    </a:graphicData>
                  </a:graphic>
                </wp:inline>
              </w:drawing>
            </w:r>
          </w:p>
          <w:p>
            <w:pPr>
              <w:keepNext w:val="0"/>
              <w:keepLines w:val="0"/>
              <w:widowControl/>
              <w:suppressLineNumbers w:val="0"/>
              <w:shd w:val="clear" w:fill="E5E5E5"/>
              <w:spacing w:line="413" w:lineRule="atLeast"/>
              <w:ind w:left="0" w:firstLine="0"/>
              <w:jc w:val="left"/>
              <w:rPr>
                <w:rFonts w:hint="eastAsia" w:ascii="宋体" w:hAnsi="宋体" w:eastAsia="宋体" w:cs="宋体"/>
                <w:b/>
                <w:caps w:val="0"/>
                <w:spacing w:val="0"/>
                <w:sz w:val="20"/>
                <w:szCs w:val="20"/>
                <w:lang w:val="en-US"/>
              </w:rPr>
            </w:pPr>
            <w:r>
              <w:rPr>
                <w:rFonts w:hint="eastAsia" w:ascii="宋体" w:hAnsi="宋体" w:eastAsia="宋体" w:cs="宋体"/>
                <w:b/>
                <w:caps w:val="0"/>
                <w:spacing w:val="0"/>
                <w:kern w:val="0"/>
                <w:sz w:val="20"/>
                <w:szCs w:val="20"/>
                <w:shd w:val="clear" w:fill="E5E5E5"/>
                <w:lang w:val="en-US" w:eastAsia="zh-CN" w:bidi="ar"/>
              </w:rPr>
              <w:t>    本月三峡商报投放量位居榜首，共65篇，占纸媒总投放量的48%。三峡晚报报次之，共43篇，占纸媒总投放量的32%；三峡日报共28篇，占纸媒总投放量的21%。投放版面主要集中在半版，其占比为39%，投放广告较多的楼盘主要有恒大帝景、宜化新天地、恒大绿洲等；整版投放量占比26%，报眼及条幅投放占比35%。</w:t>
            </w:r>
          </w:p>
          <w:p>
            <w:pPr>
              <w:keepNext w:val="0"/>
              <w:keepLines w:val="0"/>
              <w:widowControl/>
              <w:suppressLineNumbers w:val="0"/>
              <w:shd w:val="clear" w:fill="E5E5E5"/>
              <w:spacing w:line="413" w:lineRule="atLeast"/>
              <w:ind w:left="0" w:firstLine="0"/>
              <w:jc w:val="left"/>
              <w:rPr>
                <w:rFonts w:hint="eastAsia" w:ascii="宋体" w:hAnsi="宋体" w:eastAsia="宋体" w:cs="宋体"/>
                <w:b/>
                <w:caps w:val="0"/>
                <w:spacing w:val="0"/>
                <w:sz w:val="20"/>
                <w:szCs w:val="20"/>
                <w:lang w:val="en-US"/>
              </w:rPr>
            </w:pPr>
            <w:r>
              <w:rPr>
                <w:rFonts w:hint="eastAsia" w:ascii="宋体" w:hAnsi="宋体" w:eastAsia="宋体" w:cs="宋体"/>
                <w:b/>
                <w:caps w:val="0"/>
                <w:spacing w:val="0"/>
                <w:kern w:val="0"/>
                <w:sz w:val="20"/>
                <w:szCs w:val="20"/>
                <w:shd w:val="clear" w:fill="E5E5E5"/>
                <w:lang w:val="en-US" w:eastAsia="zh-CN" w:bidi="ar"/>
              </w:rPr>
              <w:t>   3、项目投放量分析</w:t>
            </w:r>
          </w:p>
          <w:p>
            <w:pPr>
              <w:keepNext w:val="0"/>
              <w:keepLines w:val="0"/>
              <w:widowControl/>
              <w:suppressLineNumbers w:val="0"/>
              <w:shd w:val="clear" w:fill="E5E5E5"/>
              <w:spacing w:line="413" w:lineRule="atLeast"/>
              <w:ind w:left="0" w:firstLine="0"/>
              <w:jc w:val="center"/>
              <w:rPr>
                <w:rFonts w:hint="eastAsia" w:ascii="宋体" w:hAnsi="宋体" w:eastAsia="宋体" w:cs="宋体"/>
                <w:b/>
                <w:caps w:val="0"/>
                <w:spacing w:val="0"/>
                <w:sz w:val="20"/>
                <w:szCs w:val="20"/>
                <w:lang w:val="en-US"/>
              </w:rPr>
            </w:pPr>
            <w:r>
              <w:rPr>
                <w:rFonts w:hint="eastAsia" w:ascii="宋体" w:hAnsi="宋体" w:eastAsia="宋体" w:cs="宋体"/>
                <w:b/>
                <w:caps w:val="0"/>
                <w:spacing w:val="0"/>
                <w:kern w:val="0"/>
                <w:sz w:val="20"/>
                <w:szCs w:val="20"/>
                <w:shd w:val="clear" w:fill="E5E5E5"/>
                <w:lang w:val="en-US" w:eastAsia="zh-CN" w:bidi="ar"/>
              </w:rPr>
              <w:t>各楼盘本月纸媒投放量对比</w:t>
            </w:r>
            <w:r>
              <w:rPr>
                <w:rFonts w:hint="eastAsia" w:ascii="宋体" w:hAnsi="宋体" w:eastAsia="宋体" w:cs="宋体"/>
                <w:b/>
                <w:caps w:val="0"/>
                <w:spacing w:val="0"/>
                <w:kern w:val="0"/>
                <w:sz w:val="20"/>
                <w:szCs w:val="20"/>
                <w:shd w:val="clear" w:fill="E5E5E5"/>
                <w:lang w:val="en-US" w:eastAsia="zh-CN" w:bidi="ar"/>
              </w:rPr>
              <w:drawing>
                <wp:inline distT="0" distB="0" distL="114300" distR="114300">
                  <wp:extent cx="5067300" cy="2800350"/>
                  <wp:effectExtent l="0" t="0" r="7620" b="3810"/>
                  <wp:docPr id="31"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descr="IMG_279"/>
                          <pic:cNvPicPr>
                            <a:picLocks noChangeAspect="1"/>
                          </pic:cNvPicPr>
                        </pic:nvPicPr>
                        <pic:blipFill>
                          <a:blip r:embed="rId27"/>
                          <a:stretch>
                            <a:fillRect/>
                          </a:stretch>
                        </pic:blipFill>
                        <pic:spPr>
                          <a:xfrm>
                            <a:off x="0" y="0"/>
                            <a:ext cx="5067300" cy="2800350"/>
                          </a:xfrm>
                          <a:prstGeom prst="rect">
                            <a:avLst/>
                          </a:prstGeom>
                          <a:noFill/>
                          <a:ln w="9525">
                            <a:noFill/>
                          </a:ln>
                        </pic:spPr>
                      </pic:pic>
                    </a:graphicData>
                  </a:graphic>
                </wp:inline>
              </w:drawing>
            </w:r>
          </w:p>
          <w:p>
            <w:pPr>
              <w:keepNext w:val="0"/>
              <w:keepLines w:val="0"/>
              <w:widowControl/>
              <w:suppressLineNumbers w:val="0"/>
              <w:shd w:val="clear" w:fill="E5E5E5"/>
              <w:spacing w:line="413" w:lineRule="atLeast"/>
              <w:ind w:left="0" w:firstLine="0"/>
              <w:jc w:val="center"/>
              <w:rPr>
                <w:rFonts w:hint="eastAsia" w:ascii="宋体" w:hAnsi="宋体" w:eastAsia="宋体" w:cs="宋体"/>
                <w:b/>
                <w:caps w:val="0"/>
                <w:spacing w:val="0"/>
                <w:sz w:val="20"/>
                <w:szCs w:val="20"/>
                <w:lang w:val="en-US"/>
              </w:rPr>
            </w:pPr>
            <w:r>
              <w:rPr>
                <w:rFonts w:hint="eastAsia" w:ascii="宋体" w:hAnsi="宋体" w:eastAsia="宋体" w:cs="宋体"/>
                <w:b/>
                <w:caps w:val="0"/>
                <w:spacing w:val="0"/>
                <w:kern w:val="0"/>
                <w:sz w:val="20"/>
                <w:szCs w:val="20"/>
                <w:shd w:val="clear" w:fill="E5E5E5"/>
                <w:lang w:val="en-US" w:eastAsia="zh-CN" w:bidi="ar"/>
              </w:rPr>
              <w:t> </w:t>
            </w:r>
          </w:p>
          <w:p>
            <w:pPr>
              <w:keepNext w:val="0"/>
              <w:keepLines w:val="0"/>
              <w:widowControl/>
              <w:suppressLineNumbers w:val="0"/>
              <w:shd w:val="clear" w:fill="E5E5E5"/>
              <w:spacing w:line="413" w:lineRule="atLeast"/>
              <w:ind w:left="0" w:firstLine="0"/>
              <w:jc w:val="center"/>
              <w:rPr>
                <w:rFonts w:hint="eastAsia" w:ascii="宋体" w:hAnsi="宋体" w:eastAsia="宋体" w:cs="宋体"/>
                <w:b/>
                <w:caps w:val="0"/>
                <w:spacing w:val="0"/>
                <w:sz w:val="20"/>
                <w:szCs w:val="20"/>
                <w:lang w:val="en-US"/>
              </w:rPr>
            </w:pPr>
            <w:r>
              <w:rPr>
                <w:rFonts w:hint="eastAsia" w:ascii="宋体" w:hAnsi="宋体" w:eastAsia="宋体" w:cs="宋体"/>
                <w:b/>
                <w:caps w:val="0"/>
                <w:spacing w:val="0"/>
                <w:kern w:val="0"/>
                <w:sz w:val="20"/>
                <w:szCs w:val="20"/>
                <w:shd w:val="clear" w:fill="E5E5E5"/>
                <w:lang w:val="en-US" w:eastAsia="zh-CN" w:bidi="ar"/>
              </w:rPr>
              <w:t>纸媒投放TOP 1、2、3：恒大帝景、宜化·新天地、月星国际城</w:t>
            </w:r>
            <w:r>
              <w:rPr>
                <w:rFonts w:hint="eastAsia" w:ascii="宋体" w:hAnsi="宋体" w:eastAsia="宋体" w:cs="宋体"/>
                <w:b/>
                <w:caps w:val="0"/>
                <w:spacing w:val="0"/>
                <w:kern w:val="0"/>
                <w:sz w:val="20"/>
                <w:szCs w:val="20"/>
                <w:shd w:val="clear" w:fill="E5E5E5"/>
                <w:lang w:val="en-US" w:eastAsia="zh-CN" w:bidi="ar"/>
              </w:rPr>
              <w:drawing>
                <wp:inline distT="0" distB="0" distL="114300" distR="114300">
                  <wp:extent cx="5334000" cy="1771650"/>
                  <wp:effectExtent l="0" t="0" r="0" b="11430"/>
                  <wp:docPr id="23"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descr="IMG_280"/>
                          <pic:cNvPicPr>
                            <a:picLocks noChangeAspect="1"/>
                          </pic:cNvPicPr>
                        </pic:nvPicPr>
                        <pic:blipFill>
                          <a:blip r:embed="rId28"/>
                          <a:stretch>
                            <a:fillRect/>
                          </a:stretch>
                        </pic:blipFill>
                        <pic:spPr>
                          <a:xfrm>
                            <a:off x="0" y="0"/>
                            <a:ext cx="5334000" cy="1771650"/>
                          </a:xfrm>
                          <a:prstGeom prst="rect">
                            <a:avLst/>
                          </a:prstGeom>
                          <a:noFill/>
                          <a:ln w="9525">
                            <a:noFill/>
                          </a:ln>
                        </pic:spPr>
                      </pic:pic>
                    </a:graphicData>
                  </a:graphic>
                </wp:inline>
              </w:drawing>
            </w:r>
          </w:p>
          <w:p>
            <w:pPr>
              <w:keepNext w:val="0"/>
              <w:keepLines w:val="0"/>
              <w:widowControl/>
              <w:suppressLineNumbers w:val="0"/>
              <w:shd w:val="clear" w:fill="E5E5E5"/>
              <w:spacing w:line="413" w:lineRule="atLeast"/>
              <w:ind w:left="0" w:firstLine="0"/>
              <w:jc w:val="left"/>
              <w:rPr>
                <w:rFonts w:hint="eastAsia" w:ascii="宋体" w:hAnsi="宋体" w:eastAsia="宋体" w:cs="宋体"/>
                <w:b/>
                <w:caps w:val="0"/>
                <w:spacing w:val="0"/>
                <w:sz w:val="20"/>
                <w:szCs w:val="20"/>
                <w:lang w:val="en-US"/>
              </w:rPr>
            </w:pPr>
            <w:r>
              <w:rPr>
                <w:rFonts w:hint="eastAsia" w:ascii="宋体" w:hAnsi="宋体" w:eastAsia="宋体" w:cs="宋体"/>
                <w:b/>
                <w:caps w:val="0"/>
                <w:spacing w:val="0"/>
                <w:kern w:val="0"/>
                <w:sz w:val="20"/>
                <w:szCs w:val="20"/>
                <w:shd w:val="clear" w:fill="E5E5E5"/>
                <w:lang w:val="en-US" w:eastAsia="zh-CN" w:bidi="ar"/>
              </w:rPr>
              <w:t>      本月恒大帝景共投放报广40篇，半版居多，其为6月28日开盘做宣传。宜化新天地共计投放报广29篇，大部分为报眼，主要发布促进三期成交信息；月星国际城共投放报广10篇，全为整版，主要是在做形象宣传。</w:t>
            </w:r>
          </w:p>
          <w:p>
            <w:pPr>
              <w:keepNext w:val="0"/>
              <w:keepLines w:val="0"/>
              <w:widowControl/>
              <w:suppressLineNumbers w:val="0"/>
              <w:shd w:val="clear" w:fill="E5E5E5"/>
              <w:spacing w:line="413" w:lineRule="atLeast"/>
              <w:ind w:left="0" w:firstLine="0"/>
              <w:jc w:val="center"/>
              <w:rPr>
                <w:rFonts w:hint="eastAsia" w:ascii="宋体" w:hAnsi="宋体" w:eastAsia="宋体" w:cs="宋体"/>
                <w:b/>
                <w:caps w:val="0"/>
                <w:spacing w:val="0"/>
                <w:sz w:val="20"/>
                <w:szCs w:val="20"/>
                <w:lang w:val="en-US"/>
              </w:rPr>
            </w:pPr>
            <w:r>
              <w:rPr>
                <w:rFonts w:hint="eastAsia" w:ascii="宋体" w:hAnsi="宋体" w:eastAsia="宋体" w:cs="宋体"/>
                <w:b/>
                <w:caps w:val="0"/>
                <w:spacing w:val="0"/>
                <w:kern w:val="0"/>
                <w:sz w:val="20"/>
                <w:szCs w:val="20"/>
                <w:shd w:val="clear" w:fill="E5E5E5"/>
                <w:lang w:val="en-US" w:eastAsia="zh-CN" w:bidi="ar"/>
              </w:rPr>
              <w:t>纸媒投放TOP 4、5、6：美联御江一品、宜昌恒大绿洲、福久源新天地</w:t>
            </w:r>
            <w:r>
              <w:rPr>
                <w:rFonts w:hint="eastAsia" w:ascii="宋体" w:hAnsi="宋体" w:eastAsia="宋体" w:cs="宋体"/>
                <w:b/>
                <w:caps w:val="0"/>
                <w:spacing w:val="0"/>
                <w:kern w:val="0"/>
                <w:sz w:val="20"/>
                <w:szCs w:val="20"/>
                <w:shd w:val="clear" w:fill="E5E5E5"/>
                <w:lang w:val="en-US" w:eastAsia="zh-CN" w:bidi="ar"/>
              </w:rPr>
              <w:drawing>
                <wp:inline distT="0" distB="0" distL="114300" distR="114300">
                  <wp:extent cx="5334000" cy="1647825"/>
                  <wp:effectExtent l="0" t="0" r="0" b="13335"/>
                  <wp:docPr id="27"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IMG_281"/>
                          <pic:cNvPicPr>
                            <a:picLocks noChangeAspect="1"/>
                          </pic:cNvPicPr>
                        </pic:nvPicPr>
                        <pic:blipFill>
                          <a:blip r:embed="rId29"/>
                          <a:stretch>
                            <a:fillRect/>
                          </a:stretch>
                        </pic:blipFill>
                        <pic:spPr>
                          <a:xfrm>
                            <a:off x="0" y="0"/>
                            <a:ext cx="5334000" cy="1647825"/>
                          </a:xfrm>
                          <a:prstGeom prst="rect">
                            <a:avLst/>
                          </a:prstGeom>
                          <a:noFill/>
                          <a:ln w="9525">
                            <a:noFill/>
                          </a:ln>
                        </pic:spPr>
                      </pic:pic>
                    </a:graphicData>
                  </a:graphic>
                </wp:inline>
              </w:drawing>
            </w:r>
          </w:p>
          <w:p>
            <w:pPr>
              <w:keepNext w:val="0"/>
              <w:keepLines w:val="0"/>
              <w:widowControl/>
              <w:suppressLineNumbers w:val="0"/>
              <w:shd w:val="clear" w:fill="E5E5E5"/>
              <w:spacing w:line="413" w:lineRule="atLeast"/>
              <w:ind w:left="0" w:firstLine="0"/>
              <w:jc w:val="left"/>
              <w:rPr>
                <w:rFonts w:hint="eastAsia" w:ascii="宋体" w:hAnsi="宋体" w:eastAsia="宋体" w:cs="宋体"/>
                <w:b/>
                <w:caps w:val="0"/>
                <w:spacing w:val="0"/>
                <w:sz w:val="20"/>
                <w:szCs w:val="20"/>
                <w:lang w:val="en-US"/>
              </w:rPr>
            </w:pPr>
            <w:r>
              <w:rPr>
                <w:rFonts w:hint="eastAsia" w:ascii="宋体" w:hAnsi="宋体" w:eastAsia="宋体" w:cs="宋体"/>
                <w:b/>
                <w:caps w:val="0"/>
                <w:spacing w:val="0"/>
                <w:kern w:val="0"/>
                <w:sz w:val="20"/>
                <w:szCs w:val="20"/>
                <w:shd w:val="clear" w:fill="E5E5E5"/>
                <w:lang w:val="en-US" w:eastAsia="zh-CN" w:bidi="ar"/>
              </w:rPr>
              <w:t>    本月美联御江一品共计投放报广9篇，全为条幅，为御江座开盘后强销做宣传。恒大绿洲共计投放报广9篇，半版居多，释放低首付信息。福久源·新天地共计投放报广7篇，主要为整版投放，全为6月28日商业街开业信息。</w:t>
            </w:r>
          </w:p>
          <w:p>
            <w:pPr>
              <w:pStyle w:val="3"/>
              <w:keepNext w:val="0"/>
              <w:keepLines w:val="0"/>
              <w:widowControl/>
              <w:suppressLineNumbers w:val="0"/>
              <w:spacing w:line="413" w:lineRule="atLeast"/>
              <w:jc w:val="center"/>
            </w:pPr>
            <w:r>
              <w:rPr>
                <w:caps w:val="0"/>
                <w:spacing w:val="0"/>
                <w:sz w:val="20"/>
                <w:szCs w:val="20"/>
                <w:shd w:val="clear" w:fill="E5E5E5"/>
                <w:lang w:val="en-US"/>
              </w:rPr>
              <w:t>三、网络媒体监测</w:t>
            </w:r>
          </w:p>
          <w:p>
            <w:pPr>
              <w:keepNext w:val="0"/>
              <w:keepLines w:val="0"/>
              <w:widowControl/>
              <w:suppressLineNumbers w:val="0"/>
              <w:shd w:val="clear" w:fill="E5E5E5"/>
              <w:spacing w:line="413" w:lineRule="atLeast"/>
              <w:ind w:left="0" w:firstLine="0"/>
              <w:jc w:val="left"/>
              <w:rPr>
                <w:rFonts w:hint="eastAsia" w:ascii="宋体" w:hAnsi="宋体" w:eastAsia="宋体" w:cs="宋体"/>
                <w:b/>
                <w:caps w:val="0"/>
                <w:spacing w:val="0"/>
                <w:sz w:val="20"/>
                <w:szCs w:val="20"/>
                <w:lang w:val="en-US"/>
              </w:rPr>
            </w:pPr>
            <w:r>
              <w:rPr>
                <w:rFonts w:hint="eastAsia" w:ascii="宋体" w:hAnsi="宋体" w:eastAsia="宋体" w:cs="宋体"/>
                <w:b/>
                <w:caps w:val="0"/>
                <w:spacing w:val="0"/>
                <w:kern w:val="0"/>
                <w:sz w:val="20"/>
                <w:szCs w:val="20"/>
                <w:shd w:val="clear" w:fill="E5E5E5"/>
                <w:lang w:val="en-US" w:eastAsia="zh-CN" w:bidi="ar"/>
              </w:rPr>
              <w:t>    1、搜房网</w:t>
            </w:r>
          </w:p>
          <w:p>
            <w:pPr>
              <w:keepNext w:val="0"/>
              <w:keepLines w:val="0"/>
              <w:widowControl/>
              <w:suppressLineNumbers w:val="0"/>
              <w:shd w:val="clear" w:fill="E5E5E5"/>
              <w:spacing w:line="413" w:lineRule="atLeast"/>
              <w:ind w:left="0" w:firstLine="0"/>
              <w:jc w:val="left"/>
              <w:rPr>
                <w:rFonts w:hint="eastAsia" w:ascii="宋体" w:hAnsi="宋体" w:eastAsia="宋体" w:cs="宋体"/>
                <w:b/>
                <w:caps w:val="0"/>
                <w:spacing w:val="0"/>
                <w:sz w:val="20"/>
                <w:szCs w:val="20"/>
                <w:lang w:val="en-US"/>
              </w:rPr>
            </w:pPr>
            <w:r>
              <w:rPr>
                <w:rFonts w:hint="eastAsia" w:ascii="宋体" w:hAnsi="宋体" w:eastAsia="宋体" w:cs="宋体"/>
                <w:b/>
                <w:caps w:val="0"/>
                <w:spacing w:val="0"/>
                <w:kern w:val="0"/>
                <w:sz w:val="20"/>
                <w:szCs w:val="20"/>
                <w:shd w:val="clear" w:fill="E5E5E5"/>
                <w:lang w:val="en-US" w:eastAsia="zh-CN" w:bidi="ar"/>
              </w:rPr>
              <w:t>       </w:t>
            </w:r>
            <w:bookmarkStart w:id="54" w:name="_Toc380050052"/>
            <w:r>
              <w:rPr>
                <w:rFonts w:hint="eastAsia" w:ascii="宋体" w:hAnsi="宋体" w:eastAsia="宋体" w:cs="宋体"/>
                <w:b/>
                <w:caps w:val="0"/>
                <w:spacing w:val="0"/>
                <w:kern w:val="0"/>
                <w:sz w:val="20"/>
                <w:szCs w:val="20"/>
                <w:shd w:val="clear" w:fill="E5E5E5"/>
                <w:lang w:val="en-US" w:eastAsia="zh-CN" w:bidi="ar"/>
              </w:rPr>
              <w:t>本月在搜房网投放广告的主要有恒大帝景、宏峰上上城、城中金谷、春立方等楼盘。</w:t>
            </w:r>
            <w:bookmarkEnd w:id="54"/>
          </w:p>
          <w:p>
            <w:pPr>
              <w:keepNext w:val="0"/>
              <w:keepLines w:val="0"/>
              <w:widowControl/>
              <w:suppressLineNumbers w:val="0"/>
              <w:shd w:val="clear" w:fill="E5E5E5"/>
              <w:spacing w:line="413" w:lineRule="atLeast"/>
              <w:ind w:left="0" w:firstLine="0"/>
              <w:jc w:val="left"/>
              <w:rPr>
                <w:rFonts w:hint="eastAsia" w:ascii="宋体" w:hAnsi="宋体" w:eastAsia="宋体" w:cs="宋体"/>
                <w:b/>
                <w:caps w:val="0"/>
                <w:spacing w:val="0"/>
                <w:sz w:val="20"/>
                <w:szCs w:val="20"/>
                <w:lang w:val="en-US"/>
              </w:rPr>
            </w:pPr>
            <w:r>
              <w:rPr>
                <w:rFonts w:hint="eastAsia" w:ascii="宋体" w:hAnsi="宋体" w:eastAsia="宋体" w:cs="宋体"/>
                <w:b/>
                <w:caps w:val="0"/>
                <w:spacing w:val="0"/>
                <w:kern w:val="0"/>
                <w:sz w:val="20"/>
                <w:szCs w:val="20"/>
                <w:shd w:val="clear" w:fill="E5E5E5"/>
                <w:lang w:val="en-US" w:eastAsia="zh-CN" w:bidi="ar"/>
              </w:rPr>
              <w:t>      </w:t>
            </w:r>
            <w:r>
              <w:rPr>
                <w:rFonts w:hint="eastAsia" w:ascii="宋体" w:hAnsi="宋体" w:eastAsia="宋体" w:cs="宋体"/>
                <w:b/>
                <w:caps w:val="0"/>
                <w:spacing w:val="0"/>
                <w:kern w:val="0"/>
                <w:sz w:val="20"/>
                <w:szCs w:val="20"/>
                <w:shd w:val="clear" w:fill="E5E5E5"/>
                <w:lang w:val="en-US" w:eastAsia="zh-CN" w:bidi="ar"/>
              </w:rPr>
              <w:drawing>
                <wp:inline distT="0" distB="0" distL="114300" distR="114300">
                  <wp:extent cx="5334000" cy="638175"/>
                  <wp:effectExtent l="0" t="0" r="0" b="1905"/>
                  <wp:docPr id="22"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7" descr="IMG_282"/>
                          <pic:cNvPicPr>
                            <a:picLocks noChangeAspect="1"/>
                          </pic:cNvPicPr>
                        </pic:nvPicPr>
                        <pic:blipFill>
                          <a:blip r:embed="rId30"/>
                          <a:stretch>
                            <a:fillRect/>
                          </a:stretch>
                        </pic:blipFill>
                        <pic:spPr>
                          <a:xfrm>
                            <a:off x="0" y="0"/>
                            <a:ext cx="5334000" cy="638175"/>
                          </a:xfrm>
                          <a:prstGeom prst="rect">
                            <a:avLst/>
                          </a:prstGeom>
                          <a:noFill/>
                          <a:ln w="9525">
                            <a:noFill/>
                          </a:ln>
                        </pic:spPr>
                      </pic:pic>
                    </a:graphicData>
                  </a:graphic>
                </wp:inline>
              </w:drawing>
            </w:r>
          </w:p>
          <w:p>
            <w:pPr>
              <w:keepNext w:val="0"/>
              <w:keepLines w:val="0"/>
              <w:widowControl/>
              <w:suppressLineNumbers w:val="0"/>
              <w:shd w:val="clear" w:fill="E5E5E5"/>
              <w:spacing w:line="413" w:lineRule="atLeast"/>
              <w:ind w:left="0" w:firstLine="0"/>
              <w:jc w:val="left"/>
              <w:rPr>
                <w:rFonts w:hint="eastAsia" w:ascii="宋体" w:hAnsi="宋体" w:eastAsia="宋体" w:cs="宋体"/>
                <w:b/>
                <w:caps w:val="0"/>
                <w:spacing w:val="0"/>
                <w:sz w:val="20"/>
                <w:szCs w:val="20"/>
                <w:lang w:val="en-US"/>
              </w:rPr>
            </w:pPr>
            <w:r>
              <w:rPr>
                <w:rFonts w:hint="eastAsia" w:ascii="宋体" w:hAnsi="宋体" w:eastAsia="宋体" w:cs="宋体"/>
                <w:b/>
                <w:caps w:val="0"/>
                <w:spacing w:val="0"/>
                <w:kern w:val="0"/>
                <w:sz w:val="20"/>
                <w:szCs w:val="20"/>
                <w:shd w:val="clear" w:fill="E5E5E5"/>
                <w:lang w:val="en-US" w:eastAsia="zh-CN" w:bidi="ar"/>
              </w:rPr>
              <w:t>      </w:t>
            </w:r>
            <w:bookmarkStart w:id="55" w:name="_Toc380050053"/>
            <w:r>
              <w:rPr>
                <w:rFonts w:hint="eastAsia" w:ascii="宋体" w:hAnsi="宋体" w:eastAsia="宋体" w:cs="宋体"/>
                <w:b/>
                <w:caps w:val="0"/>
                <w:spacing w:val="0"/>
                <w:kern w:val="0"/>
                <w:sz w:val="20"/>
                <w:szCs w:val="20"/>
                <w:shd w:val="clear" w:fill="E5E5E5"/>
                <w:lang w:val="en-US" w:eastAsia="zh-CN" w:bidi="ar"/>
              </w:rPr>
              <w:t>2</w:t>
            </w:r>
            <w:bookmarkEnd w:id="55"/>
            <w:r>
              <w:rPr>
                <w:rFonts w:hint="eastAsia" w:ascii="宋体" w:hAnsi="宋体" w:eastAsia="宋体" w:cs="宋体"/>
                <w:b/>
                <w:caps w:val="0"/>
                <w:spacing w:val="0"/>
                <w:kern w:val="0"/>
                <w:sz w:val="20"/>
                <w:szCs w:val="20"/>
                <w:shd w:val="clear" w:fill="E5E5E5"/>
                <w:lang w:val="en-US" w:eastAsia="zh-CN" w:bidi="ar"/>
              </w:rPr>
              <w:t>、搜狐焦点网</w:t>
            </w:r>
          </w:p>
          <w:p>
            <w:pPr>
              <w:keepNext w:val="0"/>
              <w:keepLines w:val="0"/>
              <w:widowControl/>
              <w:suppressLineNumbers w:val="0"/>
              <w:shd w:val="clear" w:fill="E5E5E5"/>
              <w:spacing w:line="413" w:lineRule="atLeast"/>
              <w:ind w:left="0" w:firstLine="0"/>
              <w:jc w:val="left"/>
              <w:rPr>
                <w:rFonts w:hint="eastAsia" w:ascii="宋体" w:hAnsi="宋体" w:eastAsia="宋体" w:cs="宋体"/>
                <w:b/>
                <w:caps w:val="0"/>
                <w:spacing w:val="0"/>
                <w:sz w:val="20"/>
                <w:szCs w:val="20"/>
                <w:lang w:val="en-US"/>
              </w:rPr>
            </w:pPr>
            <w:r>
              <w:rPr>
                <w:rFonts w:hint="eastAsia" w:ascii="宋体" w:hAnsi="宋体" w:eastAsia="宋体" w:cs="宋体"/>
                <w:b/>
                <w:caps w:val="0"/>
                <w:spacing w:val="0"/>
                <w:kern w:val="0"/>
                <w:sz w:val="20"/>
                <w:szCs w:val="20"/>
                <w:shd w:val="clear" w:fill="E5E5E5"/>
                <w:lang w:val="en-US" w:eastAsia="zh-CN" w:bidi="ar"/>
              </w:rPr>
              <w:t>      </w:t>
            </w:r>
            <w:bookmarkStart w:id="56" w:name="_Toc380050054"/>
            <w:r>
              <w:rPr>
                <w:rFonts w:hint="eastAsia" w:ascii="宋体" w:hAnsi="宋体" w:eastAsia="宋体" w:cs="宋体"/>
                <w:b/>
                <w:caps w:val="0"/>
                <w:spacing w:val="0"/>
                <w:kern w:val="0"/>
                <w:sz w:val="20"/>
                <w:szCs w:val="20"/>
                <w:shd w:val="clear" w:fill="E5E5E5"/>
                <w:lang w:val="en-US" w:eastAsia="zh-CN" w:bidi="ar"/>
              </w:rPr>
              <w:t>本月在搜狐焦点网上投放广告的主要有宜化新天地、宜昌恒大绿洲、恒大帝景等项目。</w:t>
            </w:r>
            <w:bookmarkEnd w:id="56"/>
          </w:p>
          <w:p>
            <w:pPr>
              <w:keepNext w:val="0"/>
              <w:keepLines w:val="0"/>
              <w:widowControl/>
              <w:suppressLineNumbers w:val="0"/>
              <w:shd w:val="clear" w:fill="E5E5E5"/>
              <w:spacing w:line="413" w:lineRule="atLeast"/>
              <w:ind w:left="0" w:firstLine="0"/>
              <w:jc w:val="left"/>
              <w:rPr>
                <w:rFonts w:hint="eastAsia" w:ascii="宋体" w:hAnsi="宋体" w:eastAsia="宋体" w:cs="宋体"/>
                <w:b/>
                <w:caps w:val="0"/>
                <w:spacing w:val="0"/>
                <w:sz w:val="20"/>
                <w:szCs w:val="20"/>
                <w:lang w:val="en-US"/>
              </w:rPr>
            </w:pPr>
            <w:r>
              <w:rPr>
                <w:rFonts w:hint="eastAsia" w:ascii="宋体" w:hAnsi="宋体" w:eastAsia="宋体" w:cs="宋体"/>
                <w:b/>
                <w:caps w:val="0"/>
                <w:spacing w:val="0"/>
                <w:kern w:val="0"/>
                <w:sz w:val="20"/>
                <w:szCs w:val="20"/>
                <w:shd w:val="clear" w:fill="E5E5E5"/>
                <w:lang w:val="en-US" w:eastAsia="zh-CN" w:bidi="ar"/>
              </w:rPr>
              <w:t>      </w:t>
            </w:r>
            <w:r>
              <w:rPr>
                <w:rFonts w:hint="eastAsia" w:ascii="宋体" w:hAnsi="宋体" w:eastAsia="宋体" w:cs="宋体"/>
                <w:b/>
                <w:caps w:val="0"/>
                <w:spacing w:val="0"/>
                <w:kern w:val="0"/>
                <w:sz w:val="20"/>
                <w:szCs w:val="20"/>
                <w:shd w:val="clear" w:fill="E5E5E5"/>
                <w:lang w:val="en-US" w:eastAsia="zh-CN" w:bidi="ar"/>
              </w:rPr>
              <w:drawing>
                <wp:inline distT="0" distB="0" distL="114300" distR="114300">
                  <wp:extent cx="5334000" cy="666750"/>
                  <wp:effectExtent l="0" t="0" r="0" b="3810"/>
                  <wp:docPr id="15"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8" descr="IMG_283"/>
                          <pic:cNvPicPr>
                            <a:picLocks noChangeAspect="1"/>
                          </pic:cNvPicPr>
                        </pic:nvPicPr>
                        <pic:blipFill>
                          <a:blip r:embed="rId31"/>
                          <a:stretch>
                            <a:fillRect/>
                          </a:stretch>
                        </pic:blipFill>
                        <pic:spPr>
                          <a:xfrm>
                            <a:off x="0" y="0"/>
                            <a:ext cx="5334000" cy="666750"/>
                          </a:xfrm>
                          <a:prstGeom prst="rect">
                            <a:avLst/>
                          </a:prstGeom>
                          <a:noFill/>
                          <a:ln w="9525">
                            <a:noFill/>
                          </a:ln>
                        </pic:spPr>
                      </pic:pic>
                    </a:graphicData>
                  </a:graphic>
                </wp:inline>
              </w:drawing>
            </w:r>
          </w:p>
          <w:p>
            <w:pPr>
              <w:keepNext w:val="0"/>
              <w:keepLines w:val="0"/>
              <w:widowControl/>
              <w:suppressLineNumbers w:val="0"/>
              <w:shd w:val="clear" w:fill="E5E5E5"/>
              <w:spacing w:line="413" w:lineRule="atLeast"/>
              <w:ind w:left="0" w:firstLine="0"/>
              <w:jc w:val="left"/>
              <w:rPr>
                <w:rFonts w:hint="eastAsia" w:ascii="宋体" w:hAnsi="宋体" w:eastAsia="宋体" w:cs="宋体"/>
                <w:b/>
                <w:caps w:val="0"/>
                <w:spacing w:val="0"/>
                <w:sz w:val="20"/>
                <w:szCs w:val="20"/>
                <w:lang w:val="en-US"/>
              </w:rPr>
            </w:pPr>
            <w:r>
              <w:rPr>
                <w:rFonts w:hint="eastAsia" w:ascii="宋体" w:hAnsi="宋体" w:eastAsia="宋体" w:cs="宋体"/>
                <w:b/>
                <w:caps w:val="0"/>
                <w:spacing w:val="0"/>
                <w:kern w:val="0"/>
                <w:sz w:val="20"/>
                <w:szCs w:val="20"/>
                <w:shd w:val="clear" w:fill="E5E5E5"/>
                <w:lang w:val="en-US" w:eastAsia="zh-CN" w:bidi="ar"/>
              </w:rPr>
              <w:t> </w:t>
            </w:r>
          </w:p>
          <w:p>
            <w:pPr>
              <w:keepNext w:val="0"/>
              <w:keepLines w:val="0"/>
              <w:widowControl/>
              <w:suppressLineNumbers w:val="0"/>
              <w:shd w:val="clear" w:fill="E5E5E5"/>
              <w:spacing w:line="413" w:lineRule="atLeast"/>
              <w:ind w:left="0" w:firstLine="0"/>
              <w:jc w:val="left"/>
              <w:rPr>
                <w:rFonts w:hint="eastAsia" w:ascii="宋体" w:hAnsi="宋体" w:eastAsia="宋体" w:cs="宋体"/>
                <w:b/>
                <w:caps w:val="0"/>
                <w:spacing w:val="0"/>
                <w:sz w:val="20"/>
                <w:szCs w:val="20"/>
                <w:lang w:val="en-US"/>
              </w:rPr>
            </w:pPr>
            <w:r>
              <w:rPr>
                <w:rFonts w:hint="eastAsia" w:ascii="宋体" w:hAnsi="宋体" w:eastAsia="宋体" w:cs="宋体"/>
                <w:b/>
                <w:caps w:val="0"/>
                <w:spacing w:val="0"/>
                <w:kern w:val="0"/>
                <w:sz w:val="20"/>
                <w:szCs w:val="20"/>
                <w:shd w:val="clear" w:fill="E5E5E5"/>
                <w:lang w:val="en-US" w:eastAsia="zh-CN" w:bidi="ar"/>
              </w:rPr>
              <w:t>      </w:t>
            </w:r>
            <w:bookmarkStart w:id="57" w:name="_Toc380050055"/>
            <w:r>
              <w:rPr>
                <w:rFonts w:hint="eastAsia" w:ascii="宋体" w:hAnsi="宋体" w:eastAsia="宋体" w:cs="宋体"/>
                <w:b/>
                <w:caps w:val="0"/>
                <w:spacing w:val="0"/>
                <w:kern w:val="0"/>
                <w:sz w:val="20"/>
                <w:szCs w:val="20"/>
                <w:shd w:val="clear" w:fill="E5E5E5"/>
                <w:lang w:val="en-US" w:eastAsia="zh-CN" w:bidi="ar"/>
              </w:rPr>
              <w:t>3</w:t>
            </w:r>
            <w:bookmarkEnd w:id="57"/>
            <w:r>
              <w:rPr>
                <w:rFonts w:hint="eastAsia" w:ascii="宋体" w:hAnsi="宋体" w:eastAsia="宋体" w:cs="宋体"/>
                <w:b/>
                <w:caps w:val="0"/>
                <w:spacing w:val="0"/>
                <w:kern w:val="0"/>
                <w:sz w:val="20"/>
                <w:szCs w:val="20"/>
                <w:shd w:val="clear" w:fill="E5E5E5"/>
                <w:lang w:val="en-US" w:eastAsia="zh-CN" w:bidi="ar"/>
              </w:rPr>
              <w:t>、大楚网</w:t>
            </w:r>
          </w:p>
          <w:p>
            <w:pPr>
              <w:keepNext w:val="0"/>
              <w:keepLines w:val="0"/>
              <w:widowControl/>
              <w:suppressLineNumbers w:val="0"/>
              <w:shd w:val="clear" w:fill="E5E5E5"/>
              <w:spacing w:line="413" w:lineRule="atLeast"/>
              <w:ind w:left="0" w:firstLine="0"/>
              <w:jc w:val="left"/>
              <w:rPr>
                <w:rFonts w:hint="eastAsia" w:ascii="宋体" w:hAnsi="宋体" w:eastAsia="宋体" w:cs="宋体"/>
                <w:b/>
                <w:caps w:val="0"/>
                <w:spacing w:val="0"/>
                <w:sz w:val="20"/>
                <w:szCs w:val="20"/>
                <w:lang w:val="en-US"/>
              </w:rPr>
            </w:pPr>
            <w:r>
              <w:rPr>
                <w:rFonts w:hint="eastAsia" w:ascii="宋体" w:hAnsi="宋体" w:eastAsia="宋体" w:cs="宋体"/>
                <w:b/>
                <w:caps w:val="0"/>
                <w:spacing w:val="0"/>
                <w:kern w:val="0"/>
                <w:sz w:val="20"/>
                <w:szCs w:val="20"/>
                <w:shd w:val="clear" w:fill="E5E5E5"/>
                <w:lang w:val="en-US" w:eastAsia="zh-CN" w:bidi="ar"/>
              </w:rPr>
              <w:t>      </w:t>
            </w:r>
            <w:bookmarkStart w:id="58" w:name="_Toc380050056"/>
            <w:r>
              <w:rPr>
                <w:rFonts w:hint="eastAsia" w:ascii="宋体" w:hAnsi="宋体" w:eastAsia="宋体" w:cs="宋体"/>
                <w:b/>
                <w:caps w:val="0"/>
                <w:spacing w:val="0"/>
                <w:kern w:val="0"/>
                <w:sz w:val="20"/>
                <w:szCs w:val="20"/>
                <w:shd w:val="clear" w:fill="E5E5E5"/>
                <w:lang w:val="en-US" w:eastAsia="zh-CN" w:bidi="ar"/>
              </w:rPr>
              <w:t>本月在大楚网上投放广告的主要有世纪山水、恒大帝景、恒大绿洲、宜化新天地等项目。</w:t>
            </w:r>
            <w:bookmarkEnd w:id="58"/>
          </w:p>
          <w:p>
            <w:pPr>
              <w:keepNext w:val="0"/>
              <w:keepLines w:val="0"/>
              <w:widowControl/>
              <w:suppressLineNumbers w:val="0"/>
              <w:shd w:val="clear" w:fill="E5E5E5"/>
              <w:spacing w:line="413" w:lineRule="atLeast"/>
              <w:ind w:left="0" w:firstLine="0"/>
              <w:jc w:val="left"/>
              <w:rPr>
                <w:rFonts w:hint="eastAsia" w:ascii="宋体" w:hAnsi="宋体" w:eastAsia="宋体" w:cs="宋体"/>
                <w:b/>
                <w:caps w:val="0"/>
                <w:spacing w:val="0"/>
                <w:sz w:val="20"/>
                <w:szCs w:val="20"/>
                <w:lang w:val="en-US"/>
              </w:rPr>
            </w:pPr>
            <w:r>
              <w:rPr>
                <w:rFonts w:hint="eastAsia" w:ascii="宋体" w:hAnsi="宋体" w:eastAsia="宋体" w:cs="宋体"/>
                <w:b/>
                <w:caps w:val="0"/>
                <w:spacing w:val="0"/>
                <w:kern w:val="0"/>
                <w:sz w:val="20"/>
                <w:szCs w:val="20"/>
                <w:shd w:val="clear" w:fill="E5E5E5"/>
                <w:lang w:val="en-US" w:eastAsia="zh-CN" w:bidi="ar"/>
              </w:rPr>
              <w:t>     </w:t>
            </w:r>
            <w:r>
              <w:rPr>
                <w:rFonts w:hint="eastAsia" w:ascii="宋体" w:hAnsi="宋体" w:eastAsia="宋体" w:cs="宋体"/>
                <w:b/>
                <w:caps w:val="0"/>
                <w:spacing w:val="0"/>
                <w:kern w:val="0"/>
                <w:sz w:val="20"/>
                <w:szCs w:val="20"/>
                <w:shd w:val="clear" w:fill="E5E5E5"/>
                <w:lang w:val="en-US" w:eastAsia="zh-CN" w:bidi="ar"/>
              </w:rPr>
              <w:drawing>
                <wp:inline distT="0" distB="0" distL="114300" distR="114300">
                  <wp:extent cx="5334000" cy="581025"/>
                  <wp:effectExtent l="0" t="0" r="0" b="13335"/>
                  <wp:docPr id="30"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IMG_284"/>
                          <pic:cNvPicPr>
                            <a:picLocks noChangeAspect="1"/>
                          </pic:cNvPicPr>
                        </pic:nvPicPr>
                        <pic:blipFill>
                          <a:blip r:embed="rId32"/>
                          <a:stretch>
                            <a:fillRect/>
                          </a:stretch>
                        </pic:blipFill>
                        <pic:spPr>
                          <a:xfrm>
                            <a:off x="0" y="0"/>
                            <a:ext cx="5334000" cy="581025"/>
                          </a:xfrm>
                          <a:prstGeom prst="rect">
                            <a:avLst/>
                          </a:prstGeom>
                          <a:noFill/>
                          <a:ln w="9525">
                            <a:noFill/>
                          </a:ln>
                        </pic:spPr>
                      </pic:pic>
                    </a:graphicData>
                  </a:graphic>
                </wp:inline>
              </w:drawing>
            </w:r>
          </w:p>
          <w:p>
            <w:pPr>
              <w:keepNext w:val="0"/>
              <w:keepLines w:val="0"/>
              <w:widowControl/>
              <w:suppressLineNumbers w:val="0"/>
              <w:shd w:val="clear" w:fill="E5E5E5"/>
              <w:spacing w:line="413" w:lineRule="atLeast"/>
              <w:ind w:left="0" w:firstLine="0"/>
              <w:jc w:val="left"/>
              <w:rPr>
                <w:rFonts w:hint="eastAsia" w:ascii="宋体" w:hAnsi="宋体" w:eastAsia="宋体" w:cs="宋体"/>
                <w:b/>
                <w:caps w:val="0"/>
                <w:spacing w:val="0"/>
                <w:sz w:val="20"/>
                <w:szCs w:val="20"/>
                <w:lang w:val="en-US"/>
              </w:rPr>
            </w:pPr>
            <w:r>
              <w:rPr>
                <w:rFonts w:hint="eastAsia" w:ascii="宋体" w:hAnsi="宋体" w:eastAsia="宋体" w:cs="宋体"/>
                <w:b/>
                <w:caps w:val="0"/>
                <w:spacing w:val="0"/>
                <w:kern w:val="0"/>
                <w:sz w:val="20"/>
                <w:szCs w:val="20"/>
                <w:shd w:val="clear" w:fill="E5E5E5"/>
                <w:lang w:val="en-US" w:eastAsia="zh-CN" w:bidi="ar"/>
              </w:rPr>
              <w:t> </w:t>
            </w:r>
          </w:p>
          <w:p>
            <w:pPr>
              <w:keepNext w:val="0"/>
              <w:keepLines w:val="0"/>
              <w:widowControl/>
              <w:suppressLineNumbers w:val="0"/>
              <w:shd w:val="clear" w:fill="E5E5E5"/>
              <w:spacing w:line="413" w:lineRule="atLeast"/>
              <w:ind w:left="0" w:firstLine="0"/>
              <w:jc w:val="left"/>
              <w:rPr>
                <w:rFonts w:hint="eastAsia" w:ascii="宋体" w:hAnsi="宋体" w:eastAsia="宋体" w:cs="宋体"/>
                <w:b/>
                <w:caps w:val="0"/>
                <w:spacing w:val="0"/>
                <w:sz w:val="20"/>
                <w:szCs w:val="20"/>
                <w:lang w:val="en-US"/>
              </w:rPr>
            </w:pPr>
            <w:r>
              <w:rPr>
                <w:rFonts w:hint="eastAsia" w:ascii="宋体" w:hAnsi="宋体" w:eastAsia="宋体" w:cs="宋体"/>
                <w:b/>
                <w:caps w:val="0"/>
                <w:spacing w:val="0"/>
                <w:kern w:val="0"/>
                <w:sz w:val="20"/>
                <w:szCs w:val="20"/>
                <w:shd w:val="clear" w:fill="E5E5E5"/>
                <w:lang w:val="en-US" w:eastAsia="zh-CN" w:bidi="ar"/>
              </w:rPr>
              <w:t>       六月学子高考交答卷，同样房企中考要成绩。面对楼市不佳状态，房企在活动与优惠上卯足了劲，以期增加来访，促进成交。如：宜华新天地开启啤酒节、世纪山水举办“西瓜雕刻DIY”活动、恒大绿洲首付4万起入住精装房、宏峰上上城与搜房网合作推出团购优惠等。</w:t>
            </w:r>
          </w:p>
          <w:p>
            <w:pPr>
              <w:keepNext w:val="0"/>
              <w:keepLines w:val="0"/>
              <w:widowControl/>
              <w:suppressLineNumbers w:val="0"/>
              <w:shd w:val="clear" w:fill="E5E5E5"/>
              <w:spacing w:line="413" w:lineRule="atLeast"/>
              <w:ind w:left="0" w:firstLine="0"/>
              <w:jc w:val="left"/>
              <w:rPr>
                <w:rFonts w:hint="eastAsia" w:ascii="宋体" w:hAnsi="宋体" w:eastAsia="宋体" w:cs="宋体"/>
                <w:b/>
                <w:caps w:val="0"/>
                <w:spacing w:val="0"/>
                <w:sz w:val="20"/>
                <w:szCs w:val="20"/>
                <w:lang w:val="en-US"/>
              </w:rPr>
            </w:pPr>
            <w:r>
              <w:rPr>
                <w:rFonts w:hint="eastAsia" w:ascii="宋体" w:hAnsi="宋体" w:eastAsia="宋体" w:cs="宋体"/>
                <w:b/>
                <w:caps w:val="0"/>
                <w:spacing w:val="0"/>
                <w:kern w:val="0"/>
                <w:sz w:val="20"/>
                <w:szCs w:val="20"/>
                <w:shd w:val="clear" w:fill="E5E5E5"/>
                <w:lang w:val="en-US" w:eastAsia="zh-CN" w:bidi="ar"/>
              </w:rPr>
              <w:t>        </w:t>
            </w:r>
            <w:r>
              <w:rPr>
                <w:rFonts w:hint="eastAsia" w:ascii="宋体" w:hAnsi="宋体" w:eastAsia="宋体" w:cs="宋体"/>
                <w:b/>
                <w:caps w:val="0"/>
                <w:spacing w:val="0"/>
                <w:kern w:val="0"/>
                <w:sz w:val="20"/>
                <w:szCs w:val="20"/>
                <w:shd w:val="clear" w:fill="E5E5E5"/>
                <w:lang w:val="en-US" w:eastAsia="zh-CN" w:bidi="ar"/>
              </w:rPr>
              <w:drawing>
                <wp:inline distT="0" distB="0" distL="114300" distR="114300">
                  <wp:extent cx="2895600" cy="1466850"/>
                  <wp:effectExtent l="0" t="0" r="0" b="11430"/>
                  <wp:docPr id="16"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0" descr="IMG_285"/>
                          <pic:cNvPicPr>
                            <a:picLocks noChangeAspect="1"/>
                          </pic:cNvPicPr>
                        </pic:nvPicPr>
                        <pic:blipFill>
                          <a:blip r:embed="rId33"/>
                          <a:stretch>
                            <a:fillRect/>
                          </a:stretch>
                        </pic:blipFill>
                        <pic:spPr>
                          <a:xfrm>
                            <a:off x="0" y="0"/>
                            <a:ext cx="2895600" cy="1466850"/>
                          </a:xfrm>
                          <a:prstGeom prst="rect">
                            <a:avLst/>
                          </a:prstGeom>
                          <a:noFill/>
                          <a:ln w="9525">
                            <a:noFill/>
                          </a:ln>
                        </pic:spPr>
                      </pic:pic>
                    </a:graphicData>
                  </a:graphic>
                </wp:inline>
              </w:drawing>
            </w:r>
            <w:r>
              <w:rPr>
                <w:rFonts w:hint="eastAsia" w:ascii="宋体" w:hAnsi="宋体" w:eastAsia="宋体" w:cs="宋体"/>
                <w:b/>
                <w:caps w:val="0"/>
                <w:spacing w:val="0"/>
                <w:kern w:val="0"/>
                <w:sz w:val="20"/>
                <w:szCs w:val="20"/>
                <w:shd w:val="clear" w:fill="E5E5E5"/>
                <w:lang w:val="en-US" w:eastAsia="zh-CN" w:bidi="ar"/>
              </w:rPr>
              <w:drawing>
                <wp:inline distT="0" distB="0" distL="114300" distR="114300">
                  <wp:extent cx="2114550" cy="1466850"/>
                  <wp:effectExtent l="0" t="0" r="3810" b="11430"/>
                  <wp:docPr id="28"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1" descr="IMG_286"/>
                          <pic:cNvPicPr>
                            <a:picLocks noChangeAspect="1"/>
                          </pic:cNvPicPr>
                        </pic:nvPicPr>
                        <pic:blipFill>
                          <a:blip r:embed="rId34"/>
                          <a:stretch>
                            <a:fillRect/>
                          </a:stretch>
                        </pic:blipFill>
                        <pic:spPr>
                          <a:xfrm>
                            <a:off x="0" y="0"/>
                            <a:ext cx="2114550" cy="1466850"/>
                          </a:xfrm>
                          <a:prstGeom prst="rect">
                            <a:avLst/>
                          </a:prstGeom>
                          <a:noFill/>
                          <a:ln w="9525">
                            <a:noFill/>
                          </a:ln>
                        </pic:spPr>
                      </pic:pic>
                    </a:graphicData>
                  </a:graphic>
                </wp:inline>
              </w:drawing>
            </w:r>
          </w:p>
        </w:tc>
      </w:tr>
    </w:tbl>
    <w:p>
      <w:bookmarkStart w:id="59" w:name="_GoBack"/>
      <w:bookmarkEnd w:id="59"/>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34910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2019-09-30T02:24:34Z</dcterms:created>
  <dc:creator>HP</dc:creator>
  <cp:lastModifiedBy>joke</cp:lastModifiedBy>
  <dcterms:modified xsi:type="dcterms:W3CDTF">2019-09-30T02:30:43Z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