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W w:w="8208" w:type="dxa"/>
        <w:jc w:val="center"/>
        <w:tblCellSpacing w:w="0" w:type="dxa"/>
        <w:tblInd w:w="49" w:type="dxa"/>
        <w:shd w:val="clear" w:color="auto" w:fill="FFFFFF"/>
        <w:tblLayout w:type="fixed"/>
        <w:tblCellMar>
          <w:top w:w="132" w:type="dxa"/>
          <w:left w:w="0" w:type="dxa"/>
          <w:bottom w:w="0" w:type="dxa"/>
          <w:right w:w="0" w:type="dxa"/>
        </w:tblCellMar>
      </w:tblPr>
      <w:tblGrid>
        <w:gridCol w:w="8208"/>
      </w:tblGrid>
      <w:tr>
        <w:tblPrEx>
          <w:shd w:val="clear" w:color="auto" w:fill="FFFFFF"/>
          <w:tblLayout w:type="fixed"/>
          <w:tblCellMar>
            <w:top w:w="132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tblCellSpacing w:w="0" w:type="dxa"/>
          <w:jc w:val="center"/>
        </w:trPr>
        <w:tc>
          <w:tcPr>
            <w:tcW w:w="8208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宋体" w:hAnsi="宋体" w:eastAsia="宋体" w:cs="宋体"/>
                <w:b/>
                <w:caps w:val="0"/>
                <w:color w:val="D00000"/>
                <w:spacing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D00000"/>
                <w:spacing w:val="0"/>
                <w:kern w:val="0"/>
                <w:sz w:val="16"/>
                <w:szCs w:val="16"/>
                <w:lang w:val="en-US" w:eastAsia="zh-CN" w:bidi="ar"/>
              </w:rPr>
              <w:t>2015年11月宜昌城区房地产市场分析报告</w:t>
            </w:r>
          </w:p>
        </w:tc>
      </w:tr>
      <w:tr>
        <w:tblPrEx>
          <w:shd w:val="clear" w:color="auto" w:fill="FFFFFF"/>
          <w:tblLayout w:type="fixed"/>
          <w:tblCellMar>
            <w:top w:w="132" w:type="dxa"/>
            <w:left w:w="0" w:type="dxa"/>
            <w:bottom w:w="0" w:type="dxa"/>
            <w:right w:w="0" w:type="dxa"/>
          </w:tblCellMar>
        </w:tblPrEx>
        <w:trPr>
          <w:trHeight w:val="301" w:hRule="atLeast"/>
          <w:tblCellSpacing w:w="0" w:type="dxa"/>
          <w:jc w:val="center"/>
        </w:trPr>
        <w:tc>
          <w:tcPr>
            <w:tcW w:w="8208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color w:val="6C5239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color w:val="6C5239"/>
                <w:spacing w:val="0"/>
                <w:kern w:val="0"/>
                <w:sz w:val="14"/>
                <w:szCs w:val="14"/>
                <w:lang w:val="en-US" w:eastAsia="zh-CN" w:bidi="ar"/>
              </w:rPr>
              <w:t>发布时间：12/17/2015 10:13:37 AM 浏览：1958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8306" w:type="dxa"/>
        <w:tblCellSpacing w:w="0" w:type="dxa"/>
        <w:tblInd w:w="0" w:type="dxa"/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53"/>
        <w:gridCol w:w="4153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4153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</w:p>
        </w:tc>
        <w:tc>
          <w:tcPr>
            <w:tcW w:w="4153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8306" w:type="dxa"/>
        <w:jc w:val="center"/>
        <w:tblCellSpacing w:w="0" w:type="dxa"/>
        <w:tblInd w:w="0" w:type="dxa"/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  <w:tblCellSpacing w:w="0" w:type="dxa"/>
          <w:jc w:val="center"/>
        </w:trPr>
        <w:tc>
          <w:tcPr>
            <w:tcW w:w="8306" w:type="dxa"/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line="24" w:lineRule="atLeast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27"/>
                <w:szCs w:val="27"/>
              </w:rPr>
              <w:t>第一部分   楼市政策分析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" w:lineRule="atLeast"/>
            </w:pPr>
            <w:bookmarkStart w:id="0" w:name="_Toc398024652"/>
            <w:bookmarkEnd w:id="0"/>
            <w:bookmarkStart w:id="1" w:name="_Toc384797619"/>
            <w:bookmarkEnd w:id="1"/>
            <w:bookmarkStart w:id="2" w:name="_Toc384797303"/>
            <w:bookmarkEnd w:id="2"/>
            <w:bookmarkStart w:id="3" w:name="_Toc384797221"/>
            <w:bookmarkEnd w:id="3"/>
            <w:bookmarkStart w:id="4" w:name="_Toc384796962"/>
            <w:bookmarkEnd w:id="4"/>
            <w:bookmarkStart w:id="5" w:name="_Toc380050033"/>
            <w:bookmarkEnd w:id="5"/>
            <w:bookmarkStart w:id="6" w:name="_Toc347757543"/>
            <w:bookmarkEnd w:id="6"/>
            <w:r>
              <w:rPr>
                <w:caps w:val="0"/>
                <w:spacing w:val="0"/>
              </w:rPr>
              <w:t>    </w:t>
            </w:r>
            <w:bookmarkStart w:id="7" w:name="_Toc345167227"/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  <w:t>一、</w:t>
            </w:r>
            <w:bookmarkEnd w:id="7"/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  <w:t>本月楼市政策一览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1、习近平：化解房地产库存 促进房地产业持续发展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内容简介：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11月10日，习近平主持召开中央财经领导小组第十一次会议，提出四大关键点的改革推进：要促进过剩产能有效化解，促进产业优化重组；要降低成本，帮助企业保持竞争优势；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要化解房地产库存，促进房地产业持续发展；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要防范化解金融风险，加快形成融资功能完备、基础制度扎实、市场监管有效、投资者权益得到充分保护的股票市场。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政策解读：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习近平罕见地谈到了房地产问题，表明政府救市的姿态坚决，新一波利好动作即将开展。从这次谈及楼市调控会议的高度来看，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去库存已经成为当前楼市调控的重中之重，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与之相配套的政策，预计将在这次会议后加紧筹备，部分库存压力过大的城市有可能抢先发力，在前一轮利好政策效果平淡的压力下，新一轮政策将加快酝酿推出。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bookmarkStart w:id="8" w:name="_Toc398024653"/>
            <w:bookmarkEnd w:id="8"/>
            <w:bookmarkStart w:id="9" w:name="_Toc384797620"/>
            <w:bookmarkEnd w:id="9"/>
            <w:bookmarkStart w:id="10" w:name="_Toc384797304"/>
            <w:bookmarkEnd w:id="10"/>
            <w:bookmarkStart w:id="11" w:name="_Toc384797222"/>
            <w:bookmarkEnd w:id="11"/>
            <w:bookmarkStart w:id="12" w:name="_Toc384796963"/>
            <w:bookmarkEnd w:id="12"/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</w:t>
            </w:r>
            <w:bookmarkStart w:id="13" w:name="_Toc380050034"/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2、央行下调分支行SLF利率 房地产行业将获利好</w:t>
            </w:r>
            <w:bookmarkEnd w:id="13"/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内容简介：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人民银行决定于2015年11月20日下调分支行常备借贷便利利率，对符合宏观审慎要求的地方法人金融机构，隔夜、7天的常备借贷便利利率分别调整为2.75%、3.25%，而本次调整之前分别为4.5%、5.5%。常备借贷便利（SLF）创设于2013年，是中国央行银行抵押品制度框架中工具之一，是全球大多数中央银行都设立的货币政策工具，其主要作用是提高货币调控效果，有效防范银行体系流动性风险，增强对货币市场利率的调控效力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政策解读：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央行此举主要是为了减轻房地产企业、基础设施企业的资金压力，在一定程度上将对房地产市场形成利好。当前国内楼市在库存高企的同时，区域分化愈发明显，多数中小房企经营困难，此前央行降息降准，更多惠及的是消费端，而此次SLF利率下调也有利于供给端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对房企而言，有可能获得较低成本的融资，这对稳定住房消费以及稳定企业开发投资都有积极的作用。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3、公积金条例时隔13年再修订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内容简介：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11月20日，国务院法制办发布《住房公积金管理条例(修订送审稿)》，这是继2002年条例修订后首次大修。比如，将“购买、建造、翻建、大修”自住住房中的“翻建、大修”改成了“大修、装修”；将“房租超出家庭工资收入的规定比例的”情形，改成了“无房职工支付自住住房租金”；还新增了“支付自住住房物业费”的情形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政策解读：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修订后不仅买房、造房、还房贷可以提公积金，以后装修、交房租、交物业费都可以提，而且还能同时提配偶的公积金。也就是说，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人们提取公积金的理由更多了，买房后续压力减小了。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事实上，拿到公积金贷款的缴存人并不多，放宽提取条件理所应当，不能一直捆绑到退休的时候变成养老金。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4、国务院发文要求推动房地产中介规范化发展短租公寓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内容简介：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11月26日，国务院办公厅印发《关于加快发展生活性服务业促进消费结构升级的指导意见》，这是我国推动生活性服务业发展的第一个全面、系统的政策性文件。在住宿方面要求：“推动房地产中介、房屋租赁经营等生活性服务规范化、标准化发展，强化服务民生的基本功能，积极发展短租公寓、长租公寓等满足广大人民群众消费需求的细分业态。”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政策解读：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当今经济和社会的发展已使人们普遍提高了对“衣、食、住、行”等生活服务的要求，房产所代表的“住”自然也在其中。我们如今的消费需求层次已从生理需求转向了更高的安全感、归属感、尊重和自我实现；房地产市场已从单纯的开发、销售转向了包含再次交易、管理运营、金融服务等各项更深层次服务的“后开发时代”，房产居家所需要的不仅仅是“住”，还要舒适感、安全感、归属感，甚至为自己创造更多的价值。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只要国家能有更多细化的鼓励性政策落地，房地产经纪行业必将迎来新的契机，而这一切都需要房产经纪行业去精心耕耘。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二、楼市发展趋势分析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土地状况：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067300" cy="1123950"/>
                  <wp:effectExtent l="0" t="0" r="7620" b="3810"/>
                  <wp:docPr id="34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 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供应情况：一线城市年末供应加大，主要城市整体涨幅较上月扩大。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2015年11月，全国300个城市共推出土地3055宗，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推出土地面积10696万平方米，环比增加8%，同比增加19%。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其中，住宅类用地（含住宅用地及包含住宅用地的综合性用地）876宗，推出土地面积3682万平方米，环比增加32%，同比增加8%。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 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成交情况：主要城市成交总量环比仍降，同比增加。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2015年11月，全国300个城市共成交土地1658宗，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成交面积6289万平方米，环比减少12%，同比增加12%。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其中，住宅类用地（含住宅用地及包含住宅用地的综合性用地）456宗，成交面积2271万平方米，环比减少1%，同比增加6%。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楼面均价：重点城市拿地意愿增强，各区域地价刷新，同环比均上涨。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2015年11月，全国300个城市成交楼面均价为2065元/平方米，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环比上涨39%，同比上涨19%，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其中住宅类用地（含住宅用地及包含住宅用地的综合性用地）成交楼面均价为3218元/平方米，环比上涨33%，同比上涨12%。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房价情况：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本月监测的100个城市中（新建）住宅平均价格为10899元/平米，环比上涨0.46%，较上月扩大0.16%。从涨跌城市个数来看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价格环比上涨的有41个，较上月减少7个，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其中，苏州、深圳环比上涨2.50%以上，涨幅居前两位；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价格环比下跌的城市有56个，较上月增加4个，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其中绵阳、湛江下跌3%以上，跌幅居前两位；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有3个城市与上月持平。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同比来看，与2014年11月相比上涨的城市个数为34个，上涨个数较上月增加1个；住宅价格下跌的城市有66个，下跌个数较上月减少了1个。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目前一线城市房价攀升了，而三四线城市库存压力大，形势依然严峻。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三、本地楼市成交情况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1、宜昌城区住宅成交情况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067300" cy="2447925"/>
                  <wp:effectExtent l="0" t="0" r="7620" b="5715"/>
                  <wp:docPr id="39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本月宜昌城区住宅成交1881套，成交面积20.5万方，成交金额约10.9亿元，成交均价为5315元/㎡。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与上个月相比减少了120套，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环比下跌6.0%；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与去年11月相比减少了52套，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同比下跌2.7%。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从数据以及市场情况来看，11月的住宅成交量相比“金九银十”有小幅下滑，但差距仅一百多套，比起2-8月1500套左右的均量，本月显然超出了这个范围，处于增长态势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067300" cy="2362200"/>
                  <wp:effectExtent l="0" t="0" r="7620" b="0"/>
                  <wp:docPr id="38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如图所示，本月成交套数最多的时日为3日、9日、16日、20日以及23日，这些时日成交量均超过80套；而本月1日、21、22日、28、29日成交量均不足40套；其它时日则比较均衡。9-10月成交量能超过2000套与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中建·宜昌之星、中核·半岛城邦、碧桂园以及拉菲小镇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等大盘开盘热销相关，而本月仅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“清江·月亮湾”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1个楼盘开盘且在月底，签约备案数据滞后，成交量下降也在情理之中。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581275" cy="1466850"/>
                  <wp:effectExtent l="0" t="0" r="9525" b="11430"/>
                  <wp:docPr id="45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324100" cy="1466850"/>
                  <wp:effectExtent l="0" t="0" r="7620" b="11430"/>
                  <wp:docPr id="35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本月宜昌楼市从成交区域来看，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依然是伍家区夺冠，成交1082套，占比达到58%，较上月增加了75套，环比上涨8%，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主要因为区内楼盘众多，中建·宜昌之星热销以及清江月亮湾开盘；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其次是夷陵区，成交382套，占比20%，比上月减少了106套，环比下跌22%，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因为上个月有中核·半岛城邦9月开盘10月签约备案数据的贡献；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西陵区成交量与上月持平；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另外，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西陵开发区成交量下降，比上月减少了68套，同比下跌34%，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因为弘洋·拉菲小镇6、8号楼前两个月销售火爆，是区内成交量的贡献者，而目前该部分房源所剩不多，因此成交量下降。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2、宜昌城区二手房成交情况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552700" cy="1466850"/>
                  <wp:effectExtent l="0" t="0" r="7620" b="11430"/>
                  <wp:docPr id="36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447925" cy="1466850"/>
                  <wp:effectExtent l="0" t="0" r="5715" b="11430"/>
                  <wp:docPr id="37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2015年1-11月宜昌城区二手房共成交7231套，成交面积70.0万方，成交总额约21.1亿元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。就区域来看，西陵区位居第一，成交33.4万方，3605套，成交金额约9.6亿元；其次是伍家区，成交18.6万方，1956套，成交金额约6.5亿元；开发区成交6.7万方，669套，成交金额约1.9亿元。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本月宜昌城区二手房成交881套，成交面积9.6万方，成交金额约3亿元，比上月增加了262套，环比上涨42%。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究其原因：二胎政策的出台在二手房市场表现异常活跃，老房子面积小卖掉换套大房或再买一套，而经济能力有限的年轻人正好买套小二手房过渡。因此，一手房、二手房近期成交量均令人满意。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line="24" w:lineRule="atLeast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27"/>
                <w:szCs w:val="27"/>
              </w:rPr>
              <w:t>第二部分   土地市场分析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" w:lineRule="atLeast"/>
            </w:pPr>
            <w:bookmarkStart w:id="14" w:name="_Toc398024655"/>
            <w:bookmarkEnd w:id="14"/>
            <w:bookmarkStart w:id="15" w:name="_Toc384797622"/>
            <w:bookmarkEnd w:id="15"/>
            <w:bookmarkStart w:id="16" w:name="_Toc384797306"/>
            <w:bookmarkEnd w:id="16"/>
            <w:bookmarkStart w:id="17" w:name="_Toc384797224"/>
            <w:bookmarkEnd w:id="17"/>
            <w:bookmarkStart w:id="18" w:name="_Toc384796965"/>
            <w:bookmarkEnd w:id="18"/>
            <w:bookmarkStart w:id="19" w:name="_Toc380050036"/>
            <w:bookmarkEnd w:id="19"/>
            <w:bookmarkStart w:id="20" w:name="_Toc353178132"/>
            <w:bookmarkEnd w:id="20"/>
            <w:bookmarkStart w:id="21" w:name="_Toc347757546"/>
            <w:bookmarkEnd w:id="21"/>
            <w:r>
              <w:rPr>
                <w:caps w:val="0"/>
                <w:spacing w:val="0"/>
              </w:rPr>
              <w:t>   </w:t>
            </w:r>
            <w:bookmarkStart w:id="22" w:name="_Toc339981458"/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  <w:t>一、土地供应市场解析</w:t>
            </w:r>
            <w:bookmarkEnd w:id="22"/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bookmarkStart w:id="23" w:name="_Toc380050037"/>
            <w:bookmarkEnd w:id="23"/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</w:t>
            </w:r>
            <w:bookmarkStart w:id="24" w:name="_Toc350245826"/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1</w:t>
            </w:r>
            <w:bookmarkEnd w:id="24"/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、土地供应情况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本月出让土地9宗，出让总面积20.13万方，出让总额为2.49亿元。与上个月相比，地块增加了3宗，面积减少了21.51万方，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环比下跌51.67%；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与去年11月相比，地块减少了8宗，面积减少了115.40万方，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同比下跌85.15%。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                   2015年11月宜昌地块出让情况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2171700"/>
                  <wp:effectExtent l="0" t="0" r="0" b="7620"/>
                  <wp:docPr id="40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             2014年11月-2015年11月宜昌城区土地供给横向对比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1228725"/>
                  <wp:effectExtent l="0" t="0" r="0" b="5715"/>
                  <wp:docPr id="41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2、出让土地特征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从用地性质来看，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本月出让工业用地4宗，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住宅用地3宗，商业商务用地1宗，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批发零售用地1宗；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从区域来看，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宜昌高新区出让3宗，夷陵区6宗。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本月出让的住宅及商业用地详情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 【宜土网挂（2015）58号】地块，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位于宜昌高新区东山园区港窑路与青岛路交汇处，用途为商业用地，出让面积为10439.63平方米（合15.66亩），容积率1.1，预计未来放量约11484平方米（只含地上建筑面积）。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 【夷G（2015）34号】地块，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位于宜昌鸦鹊岭镇梅林村，用途为住宅用地，出让面积为15058.92平方米（合22.59亩），容积率1.6，预计未来放量约24094平方米（只含地上建筑面积）。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 【夷G（2015）35号】地块，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位于东城城乡统筹试验区梅子垭村，用途为住宅用地，出让面积为69273.44平方米（合103.91亩），容积率2.4，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预计未来放量约16.6万方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（只含地上建筑面积）。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 【夷G（2015）36号】地块，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位于东城城乡统筹试验区东方大道右侧，用途为住宅用地，出让面积为15420.5平方米（合23.13亩），容积率1.6，预计未来放量约24673平方米（只含地上建筑面积）。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067300" cy="3038475"/>
                  <wp:effectExtent l="0" t="0" r="7620" b="9525"/>
                  <wp:docPr id="42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303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                                          【夷G（2015）35号】地块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" w:lineRule="atLeast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  <w:t>    二、本月土地成交分析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1、土地成交情况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本月成交地块8宗，成交面积69.53万方，成交总金额3.31亿元，成交均价为32万元/亩。地块比上个月增加了3宗，面积增加了51.20万方，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环比上涨279.46%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；与去年11月相比，地块增加了1宗，面积增加了52.21万方，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同比上涨301.63%。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             2015年11月宜昌地块成交情况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1619250"/>
                  <wp:effectExtent l="0" t="0" r="0" b="11430"/>
                  <wp:docPr id="43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2、成交土地特征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从用地性质来看，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本月成交工业用地4宗，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住宅用地2宗，商业用地1宗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，港口码头用地1宗；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从区域来看，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宜昌高新区成交5宗，西陵区1宗，伍家区1宗，点军区1宗。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3、本月成交重点地块介绍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【宜土网挂（2015）48号】地块，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位于伍家岗区城乡路北侧，规划用地性质为商业，由宜昌城投房地产开发有限公司竟得，总占地面积3756.01平方米（合5.63亩），容积率2.0，成交价120万元/亩，楼面地价约900元/㎡。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【宜土网挂（2015）49号】地块，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位于点军区五龙片区五龙三路与南站路交汇处，规划用地性质为住宅，由宜昌清能碧桂园房地产开发有限公司竟得，总占地面积62176.69平方米（合93.27亩），容积率2.0，成交价147万元/亩，楼面地价约1103元/㎡。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【宜土网挂（2015）50号】地块，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位于西陵区峡州大道与江河路交汇处，规划用地性质为住宅，由宜昌城投房地产开发有限公司竟得，总占地面积40036.00平方米（合60.05亩），容积率2.1，成交价161万元/亩，楼面地价约1150元/㎡。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4、2014年11月-2015年11月宜昌土地市场成交走势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4800600" cy="2495550"/>
                  <wp:effectExtent l="0" t="0" r="0" b="3810"/>
                  <wp:docPr id="44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 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4800600" cy="2628900"/>
                  <wp:effectExtent l="0" t="0" r="0" b="7620"/>
                  <wp:docPr id="14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如上图所示，宜昌土地成交市场今年上半年一直处于滑落状态，直到7月迅速回升，8月达到顶峰，而本该旺季的9、10连续两个月出现回落，本月则出现了一个大的反弹，“金九银十”虽没有表现在土地成交上，但住宅成交量大幅攀升，销售均突破2000套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楼市回暖迹象明显，因此，开发商后续拿地热情增加，意愿加强。价格走势上，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由于本月成交的工业用地较多，且面积较大，因此成交价格下降。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就近几个月成交地块的区域及特征来看，大多集中在高新区、夷陵板块以及点军五龙片区。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高新区多为工业用地；夷陵区多为城投公司的储备用地；而点军碧桂园联合清能地产拿地再次炒热点军板块；另外，楼面地价在1000左右，整体房价水平也趋于平衡。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line="24" w:lineRule="atLeast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27"/>
                <w:szCs w:val="27"/>
              </w:rPr>
              <w:t>第三部分   各区楼市表现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宜昌楼市主要动态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 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本月接受认筹的项目有：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 金安东诚认筹交2万享开盘2%优惠；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 半山雲庭认筹2千抵2万；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 中建·宜昌之星1、6号楼认筹1万抵5万。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 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本月新开盘的项目有：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 清江·月亮湾11月21日开盘。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主城区其它重点项目动态：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 11月7日-8日，宜昌恒大帝景童心童趣幸福狂欢生日派对；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 11月7日-15日，星湖湾恐龙展；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 11月14日，宜化·新天地杂技大咖秀；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 11月14日，国宾壹号拉斯维加斯风情之旅；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 11月14日-15日，山水华庭嗨皮DIY，萌眼带回家；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 11月15日，中建·宜昌之星情景展示区开放；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 11月21日，碧桂园二期观山悦举行开工仪式；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 11月21日-22日，中交·宜城春晓感恩节主题活动；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 11月21日-22日，“亚洲之夜·激情共享”宜昌恒大绿洲首届足球嘉年华活动；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 11月22日，华鹏·梧桐邑天空梦工厂梦幻来袭；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 11月22日，龙盘湖高尔夫别墅样板房开放；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 11月26-27日，中建·宜昌之星彩绘牛来袭；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 11月28日-29日，宜昌恒大帝景业主答谢会；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 11月29日，金亚5号宜美家二楼外展点开放。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Style w:val="6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一、西陵区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区内主要楼盘动态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4048125"/>
                  <wp:effectExtent l="0" t="0" r="0" b="5715"/>
                  <wp:docPr id="30" name="图片 1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404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400300" cy="2667000"/>
                  <wp:effectExtent l="0" t="0" r="7620" b="0"/>
                  <wp:docPr id="26" name="图片 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2400300" cy="2667000"/>
                  <wp:effectExtent l="0" t="0" r="7620" b="0"/>
                  <wp:docPr id="29" name="图片 1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                    香樟里效果图                                金安东诚实景图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Style w:val="6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  二、伍家区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 1、  区内主要楼盘动态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4991100"/>
                  <wp:effectExtent l="0" t="0" r="0" b="7620"/>
                  <wp:docPr id="24" name="图片 1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499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4667250"/>
                  <wp:effectExtent l="0" t="0" r="0" b="11430"/>
                  <wp:docPr id="15" name="图片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466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1781175"/>
                  <wp:effectExtent l="0" t="0" r="0" b="1905"/>
                  <wp:docPr id="27" name="图片 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2、区内项目调查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□项目名称：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清江·月亮湾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□地理位置：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伍家岗区城东大道张家湾隧道口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□开 发 商：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宜昌清能广源置业有限公司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□开发规模：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占地10.9万方，总建筑面积约32万方，容积率2.30，绿化率30%，住宅总户数2274户，停车位2015个（地上187个，地下1828个）。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□规划要点：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项目由13栋33层的高层住宅和7栋5+1的电梯洋房以及1栋幼儿园组成。其中，1#至4#、13#、15#、17#至23#为高层，5#至11#为洋房。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□主力户型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：C1：105.50㎡     C2：135.16㎡     C3：88.85㎡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 C1: 2+1室 2厅2卫           C2: 3+1室2厅2卫              C3: 2+1室2厅1卫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1543050" cy="1733550"/>
                  <wp:effectExtent l="0" t="0" r="11430" b="3810"/>
                  <wp:docPr id="21" name="图片 20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6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</w:t>
            </w:r>
            <w:r>
              <w:rPr>
                <w:rStyle w:val="6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1914525" cy="1733550"/>
                  <wp:effectExtent l="0" t="0" r="5715" b="3810"/>
                  <wp:docPr id="25" name="图片 2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6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</w:t>
            </w:r>
            <w:r>
              <w:rPr>
                <w:rStyle w:val="6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1581150" cy="1733550"/>
                  <wp:effectExtent l="0" t="0" r="3810" b="3810"/>
                  <wp:docPr id="13" name="图片 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□户型点评：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南向客厅及主卧，通风采光好；客厅连接宽大阳台，观景效果好；空中花园设计，既增加了功能空间又赠送了面积。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□项目动态：2015年10月1日，营销中心开放，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10.1-10.7举办西班牙狂欢节和首届国际沙雕展活动；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10月17日开始认筹，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13号楼高层89-135㎡认筹5千抵5万，9、10号楼花园洋房122-168㎡认筹2万抵8万；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11月21日开盘。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□开盘方式：采取的是认筹客户到场后直接签到排号的方式，没有仪式和讲话，上午10点直接进入正题选房，成交客户可参与抽奖。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场外微型游乐场、小丑气球以及美食烧烤等增加人气。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□销售情况：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本次开盘一共推出了3栋楼，其中，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13号楼高层127套房源备案19套，备案均价4800元/平方米；9、10号楼洋房40套房源备案12套，备案均价7300元/平方米。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虽说开盘时间在本月下旬，签约备案需要一个周期，但根据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开盘选取排号的方式判断，认筹客户并不多，因此销售不会太理想；现场人气旺是因为三盘联动另外两个楼盘的老业主来捧场。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Style w:val="6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 三、高新区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 区内主要楼盘动态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5019675"/>
                  <wp:effectExtent l="0" t="0" r="0" b="9525"/>
                  <wp:docPr id="28" name="图片 23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3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501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Style w:val="6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 四、夷陵区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 1、区内主要楼盘动态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5019675"/>
                  <wp:effectExtent l="0" t="0" r="0" b="9525"/>
                  <wp:docPr id="7" name="图片 24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4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501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2、区内项目调查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□项目名称：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至上·未来城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□地理位置：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夷陵区发展大道与东湖大道交汇处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□开发商：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宜昌市至上置业有限公司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□开发规模：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占地面积5万方，总建筑面积15.8万方，容积率2.50，绿化率43%，总户数1030户，停车位1054个。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□规划要点：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项目由10栋纯高层“Art Deco”风格建筑组成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□主力户型：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 E1：109㎡/3室2厅1卫 1花园               E2：130㎡/3室2厅2卫1花园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1866900" cy="2533650"/>
                  <wp:effectExtent l="0" t="0" r="7620" b="11430"/>
                  <wp:docPr id="16" name="图片 25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5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 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657475" cy="2533650"/>
                  <wp:effectExtent l="0" t="0" r="9525" b="11430"/>
                  <wp:docPr id="6" name="图片 26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6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□户型点评：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动静分离，功能分区，布局合理；入户花园设计，体现主人尊贵；客厅连接宽大阳台，观景效果好；超大赠送空间，得房率高。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□销售情况：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一期1-5号楼于2013年11月售罄，均价4800元/㎡；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目前在售的为项目二期6-10号楼。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其中，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6-8号楼于2013年12月推出，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6号楼为中央景观楼王，户型面积为186和195平米大平层，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50套房源备案10套，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备案均价5500元/㎡；7、8号楼87-130平米户型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228套房源备案182套，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备案均价4700元/㎡；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9、10号楼于2015年5月推出，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96-130平米户型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236套房源备案81套，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备案均价4400元/㎡。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□项目点评：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项目位于发展大道与东湖大道交汇处，享清江润城商业配套，生活便利；高达43%的绿化率，超大楼间距，下沉式羽毛球场，中央水系，新古典主义建筑风格，品味高端；户型公摊面积小，赠送面积多，得房率高。不足之处是：项目在清江润城背后，不临主干道，昭示性差；竞品楼盘钓鱼台2号和清江润城定价偏低，抢走大量客源，虽采取促销策略但仍没见到起色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五、点军区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区内主要楼盘动态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2962275"/>
                  <wp:effectExtent l="0" t="0" r="0" b="9525"/>
                  <wp:docPr id="17" name="图片 27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7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Style w:val="6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  六、猇亭区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   区内主要楼盘动态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2524125"/>
                  <wp:effectExtent l="0" t="0" r="0" b="5715"/>
                  <wp:docPr id="5" name="图片 28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8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line="24" w:lineRule="atLeast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27"/>
                <w:szCs w:val="27"/>
              </w:rPr>
              <w:t>第四部分   媒体监测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" w:lineRule="atLeast"/>
            </w:pPr>
            <w:bookmarkStart w:id="25" w:name="_Toc398024665"/>
            <w:bookmarkEnd w:id="25"/>
            <w:bookmarkStart w:id="26" w:name="_Toc380050048"/>
            <w:bookmarkEnd w:id="26"/>
            <w:bookmarkStart w:id="27" w:name="_Toc353178142"/>
            <w:bookmarkEnd w:id="27"/>
            <w:bookmarkStart w:id="28" w:name="_Toc347757555"/>
            <w:bookmarkEnd w:id="28"/>
            <w:r>
              <w:rPr>
                <w:caps w:val="0"/>
                <w:spacing w:val="0"/>
              </w:rPr>
              <w:t>    </w:t>
            </w:r>
            <w:bookmarkStart w:id="29" w:name="_Toc345167239"/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  <w:t>一、纸媒投放情况</w:t>
            </w:r>
            <w:bookmarkEnd w:id="29"/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  <w:t> 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本月截止到30日，共有16个地产项目投放报纸广告，与上个月持平；投放数量共计81篇，比上个月增加了38篇，环比上涨88%。本月广告投放量较大的主要有:宜化·新天地、宜化·巴黎香颂、易家居以及恒大帝景等楼盘。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" w:lineRule="atLeast"/>
            </w:pPr>
            <w:bookmarkStart w:id="30" w:name="_Toc398024666"/>
            <w:bookmarkEnd w:id="30"/>
            <w:bookmarkStart w:id="31" w:name="_Toc380050049"/>
            <w:bookmarkEnd w:id="31"/>
            <w:bookmarkStart w:id="32" w:name="_Toc353178143"/>
            <w:bookmarkEnd w:id="32"/>
            <w:bookmarkStart w:id="33" w:name="_Toc347757556"/>
            <w:bookmarkEnd w:id="33"/>
            <w:r>
              <w:rPr>
                <w:caps w:val="0"/>
                <w:spacing w:val="0"/>
              </w:rPr>
              <w:t>    </w:t>
            </w:r>
            <w:bookmarkStart w:id="34" w:name="_Toc345167240"/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  <w:t>二、纸媒投放数据监测</w:t>
            </w:r>
            <w:bookmarkEnd w:id="34"/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 1、报广投放时间段分析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Style w:val="6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本月投放量统计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447925" cy="1466850"/>
                  <wp:effectExtent l="0" t="0" r="5715" b="11430"/>
                  <wp:docPr id="11" name="图片 29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6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</w:t>
            </w:r>
            <w:r>
              <w:rPr>
                <w:rStyle w:val="6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2276475" cy="1466850"/>
                  <wp:effectExtent l="0" t="0" r="9525" b="11430"/>
                  <wp:docPr id="8" name="图片 30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0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本月报广投放量从时间上来看，主要集中在6日、12日、13日和27日这4个时间点，其中6日投放量达到11篇；从每周时间来看，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本月投放量绝大多数集中在周五，投放27篇，占比33%，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其次是周一，投放16篇，罕见的占到了20%；而稳居第二的周四投放15篇，占比19%，滑落至第三；周末终于突破近半年连续为零的记录，投放2篇，占比2%。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2、投放媒体及版面分析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投放媒体及版面统计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600325" cy="1600200"/>
                  <wp:effectExtent l="0" t="0" r="5715" b="0"/>
                  <wp:docPr id="19" name="图片 31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31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6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</w:t>
            </w:r>
            <w:r>
              <w:rPr>
                <w:rStyle w:val="6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571750" cy="1600200"/>
                  <wp:effectExtent l="0" t="0" r="3810" b="0"/>
                  <wp:docPr id="31" name="图片 32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2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本月三峡商报和三峡晚报并列第一，各投放36篇，两者共占纸媒总投放量的89%；三峡日报投放9篇，占比11%。本月投放版面主要集中在报眼和横幅，共计51篇，占总投放量的63%，主要为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宜化·新天地、宜化·巴黎香颂和易家居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等楼盘投放；其次是半版，共计19篇，占总投放量的23%，主要为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恒大绿洲、清江·月亮湾、宜化·新天地以及宜化·巴黎香颂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等楼盘投放。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报眼及横幅投放比例扩大，半版及整版大幅缩减，开发商逐渐将传统纸媒的投放费用缩减转移到新媒体，或做更务实的暖场活动增加来访。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3、项目投放量分析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各楼盘本月纸媒投放量对比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067300" cy="3028950"/>
                  <wp:effectExtent l="0" t="0" r="7620" b="3810"/>
                  <wp:docPr id="32" name="图片 33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3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302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纸媒投放TOP 1、2、3：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宜化·新天地、宜化·巴黎香颂、易家居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600325" cy="1600200"/>
                  <wp:effectExtent l="0" t="0" r="5715" b="0"/>
                  <wp:docPr id="18" name="图片 34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34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2667000" cy="1600200"/>
                  <wp:effectExtent l="0" t="0" r="0" b="0"/>
                  <wp:docPr id="20" name="图片 35" descr="IMG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35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本月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宜化·新天地投放报广24篇，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占总投放量的30%，主要宣传123-265平米洋房2万抵10万的优惠信息；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宜化·巴黎香颂投放报广17篇，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占总投放量的21%，主要宣传即将推出的300-350平米92席别墅；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易家居投放报广13篇，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占总投放量的16%，主要宣传仅需5万即可买街铺的信息。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纸媒投放TOP 4、5、6：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恒大帝景、中建·宜昌之星、清江·月亮湾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505075" cy="1733550"/>
                  <wp:effectExtent l="0" t="0" r="9525" b="3810"/>
                  <wp:docPr id="22" name="图片 36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36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2486025" cy="1733550"/>
                  <wp:effectExtent l="0" t="0" r="13335" b="3810"/>
                  <wp:docPr id="3" name="图片 37" descr="IMG_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7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本月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恒大帝景投放报广5篇，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主要宣传双十一特惠房信息；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中建·宜昌之星投放报广4篇，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主要宣传11月15日情景展示区开放及1、6号楼认筹1万抵5万的信息；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清江·月亮湾投放报广4篇，</w:t>
            </w:r>
            <w:bookmarkStart w:id="35" w:name="_Toc380050050"/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主要</w:t>
            </w:r>
            <w:bookmarkEnd w:id="35"/>
            <w:bookmarkStart w:id="36" w:name="_Toc398024667"/>
            <w:bookmarkEnd w:id="36"/>
            <w:bookmarkStart w:id="37" w:name="_Toc384796975"/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宣传项目认筹高层5千抵5万、洋房2万抵8万以及11月21日开盘的信息。</w:t>
            </w:r>
            <w:bookmarkEnd w:id="37"/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" w:lineRule="atLeast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  <w:t>    三、网络媒体监测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</w:t>
            </w:r>
            <w:bookmarkStart w:id="38" w:name="_Toc380050051"/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1</w:t>
            </w:r>
            <w:bookmarkEnd w:id="38"/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、搜房网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</w:t>
            </w:r>
            <w:bookmarkStart w:id="39" w:name="_Toc380050052"/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本月在搜房网投放广告的主要有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恒大帝景、宜化·新天地、依山郡以及世纪山水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等楼盘。</w:t>
            </w:r>
            <w:bookmarkEnd w:id="39"/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1038225"/>
                  <wp:effectExtent l="0" t="0" r="0" b="13335"/>
                  <wp:docPr id="23" name="图片 38" descr="IMG_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38" descr="IMG_293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</w:t>
            </w:r>
            <w:bookmarkStart w:id="40" w:name="_Toc380050055"/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2</w:t>
            </w:r>
            <w:bookmarkEnd w:id="40"/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、大楚网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</w:t>
            </w:r>
            <w:bookmarkStart w:id="41" w:name="_Toc380050056"/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本月在大楚网投放广告的主要有</w:t>
            </w:r>
            <w:bookmarkEnd w:id="41"/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宜化·新天地、国宾壹号、世纪山水、正泰·玫瑰园、宜化·巴黎香颂、城中金谷、香山·福久源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以及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城中半岛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等楼盘。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1352550"/>
                  <wp:effectExtent l="0" t="0" r="0" b="3810"/>
                  <wp:docPr id="33" name="图片 39" descr="IMG_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9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1000125"/>
                  <wp:effectExtent l="0" t="0" r="0" b="5715"/>
                  <wp:docPr id="2" name="图片 40" descr="IMG_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0" descr="IMG_295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190500"/>
                  <wp:effectExtent l="0" t="0" r="0" b="7620"/>
                  <wp:docPr id="4" name="图片 41" descr="IMG_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1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3、搜狐焦点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</w:t>
            </w:r>
            <w:bookmarkStart w:id="42" w:name="_Toc380050054"/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本月在搜狐焦点投放广告的主要为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宜化·巴黎香颂、宜化·新天地</w:t>
            </w:r>
            <w:bookmarkEnd w:id="42"/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以及华鹏·梧桐邑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等楼盘。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257175"/>
                  <wp:effectExtent l="0" t="0" r="0" b="1905"/>
                  <wp:docPr id="9" name="图片 42" descr="IMG_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2" descr="IMG_297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 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 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266700"/>
                  <wp:effectExtent l="0" t="0" r="0" b="7620"/>
                  <wp:docPr id="10" name="图片 43" descr="IMG_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3" descr="IMG_298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2162175"/>
                  <wp:effectExtent l="0" t="0" r="0" b="1905"/>
                  <wp:docPr id="12" name="图片 44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4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4、新浪网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本月在新浪网投放广告的主要是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宜化·巴黎香颂和宜化·新天地。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485775"/>
                  <wp:effectExtent l="0" t="0" r="0" b="1905"/>
                  <wp:docPr id="1" name="图片 45" descr="IMG_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45" descr="IMG_300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 本月网络媒体投放情况：在搜房网上投放广告的商家有4个，比上月增加3个；在大楚网上投放广告的有8个，比上月增加1个；在搜狐焦点网上投放广告的有3个，比上月减少1个；在新浪网上投放广告的有2个，比上月减少4个。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本月投放房产广告最多的网站是大楚网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，因为活动多关注度高，有大量的客户资源，合作方式灵活，费用相对较低，因此，开发商愿意投放；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本月在网站上投放广告最多的楼盘依然是宜化·巴黎香颂和宜化·新天地，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近半年都是，估计是长期合作价格更优惠。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</w:p>
        </w:tc>
      </w:tr>
    </w:tbl>
    <w:p>
      <w:bookmarkStart w:id="43" w:name="_GoBack"/>
      <w:bookmarkEnd w:id="43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9170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9" Type="http://schemas.openxmlformats.org/officeDocument/2006/relationships/fontTable" Target="fontTable.xml"/><Relationship Id="rId48" Type="http://schemas.openxmlformats.org/officeDocument/2006/relationships/customXml" Target="../customXml/item1.xml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2019-09-30T03:47:19Z</dcterms:created>
  <dc:creator>HP</dc:creator>
  <cp:lastModifiedBy>joke</cp:lastModifiedBy>
  <dcterms:modified xsi:type="dcterms:W3CDTF">2019-09-30T03:47:33Z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