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2014年12月荆门市城区房地产市场分析报告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发布时间：1/20/2015 3:07:36 PM 浏览：3098</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bookmarkStart w:id="0" w:name="_Toc408932320"/>
            <w:bookmarkEnd w:id="0"/>
            <w:bookmarkStart w:id="1" w:name="_Toc398024651"/>
            <w:r>
              <w:rPr>
                <w:rFonts w:hint="eastAsia" w:ascii="宋体" w:hAnsi="宋体" w:eastAsia="宋体" w:cs="宋体"/>
                <w:caps w:val="0"/>
                <w:spacing w:val="0"/>
                <w:sz w:val="27"/>
                <w:szCs w:val="27"/>
              </w:rPr>
              <w:t>第一部分   </w:t>
            </w:r>
            <w:bookmarkEnd w:id="1"/>
            <w:r>
              <w:rPr>
                <w:rFonts w:hint="eastAsia" w:ascii="宋体" w:hAnsi="宋体" w:eastAsia="宋体" w:cs="宋体"/>
                <w:caps w:val="0"/>
                <w:spacing w:val="0"/>
                <w:sz w:val="27"/>
                <w:szCs w:val="27"/>
              </w:rPr>
              <w:t>楼市政策分析</w:t>
            </w:r>
          </w:p>
          <w:p>
            <w:pPr>
              <w:pStyle w:val="3"/>
              <w:keepNext w:val="0"/>
              <w:keepLines w:val="0"/>
              <w:widowControl/>
              <w:suppressLineNumbers w:val="0"/>
              <w:spacing w:line="24" w:lineRule="atLeast"/>
              <w:jc w:val="left"/>
            </w:pPr>
            <w:r>
              <w:rPr>
                <w:caps w:val="0"/>
                <w:spacing w:val="0"/>
              </w:rPr>
              <w:t>     </w:t>
            </w:r>
            <w:bookmarkStart w:id="2" w:name="_Toc408932321"/>
            <w:r>
              <w:rPr>
                <w:rFonts w:hint="eastAsia" w:ascii="宋体" w:hAnsi="宋体" w:eastAsia="宋体" w:cs="宋体"/>
                <w:caps w:val="0"/>
                <w:spacing w:val="0"/>
                <w:sz w:val="20"/>
                <w:szCs w:val="20"/>
              </w:rPr>
              <w:t>一、本月楼市政策一览</w:t>
            </w:r>
            <w:bookmarkEnd w:id="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12月24日，央行：同业存款有望免缴准备金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央行表示，非银行金融机构同业存款与同业借款纳入存贷比，但是存款准备金率初步定为零，上述机构不包括财务公司。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政策解读：</w:t>
            </w:r>
            <w:r>
              <w:rPr>
                <w:rFonts w:hint="eastAsia" w:ascii="宋体" w:hAnsi="宋体" w:eastAsia="宋体" w:cs="宋体"/>
                <w:caps w:val="0"/>
                <w:spacing w:val="0"/>
                <w:kern w:val="0"/>
                <w:sz w:val="20"/>
                <w:szCs w:val="20"/>
                <w:lang w:val="en-US" w:eastAsia="zh-CN" w:bidi="ar"/>
              </w:rPr>
              <w:t>免缴准意味着非银行金融机构将会拥有更多流动资金，从某种角度上说，是增强了其信贷的能力。现在楼市情形仍未有很大的改善，资金链尤为关键，央行此举对楼市发展有积极的作用。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12月22日，国务院：不动产登记暂行条例公布，明年3月起施行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国务院于22日公布《不动产登记暂行条例》（以下简称“条例”）全文，自2015年3月1日起施行，此新规对于不动产登记信息的整合与共享作出了详细而明确的规定。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不动产登记新规有利于摸清中国的住房家底，据此科学制定政策，并不会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对房价产生直接影响。但从长远角度看，新规为今后房产税等改革措施提供了基础数据来源，能够保证未来房地产调控更加精准有效。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12月19日，武汉公积金管理中心：武汉长沙合肥南昌公积金异地互认</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：汉住房公积金管理中心宣布：自2015年1月1日起，武汉、长沙、合肥和南昌4个长江中游城市之间的住房公积金缴存将实行异地互认和转移接续。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4个城市间公积金互通互联，将提高公积金的使用效率，释放政府稳定楼市的积极信号，但异地使用公积金在汉买房的人相对少，对武汉楼市构成的利好有限，预计对市场整体影响不大。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政策归纳：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近几月“松绑限购”、“放开限贷”及“央行降息”等闹得火热。但2014年的最后一个月里，房地产市场政策面相对平静许多。之前出台的政策效应还在延续，中央继续以放宽资金面为基础，地方政府仍在公积金等常见调控方面做文章。总体来看，2015年我国房地产市场政策面将持续宽松，全力去库存仍是政府的工作重点，打压和强力刺激的政策出现的可能性均不大，维持现有政策的平稳落实将是主旋律。为了稳定经济增长，未来市场整体资金面将相对宽松，房地产市场也会受益。</w:t>
            </w:r>
          </w:p>
          <w:p>
            <w:pPr>
              <w:pStyle w:val="3"/>
              <w:keepNext w:val="0"/>
              <w:keepLines w:val="0"/>
              <w:widowControl/>
              <w:suppressLineNumbers w:val="0"/>
              <w:spacing w:line="24" w:lineRule="atLeast"/>
            </w:pPr>
            <w:r>
              <w:rPr>
                <w:caps w:val="0"/>
                <w:spacing w:val="0"/>
              </w:rPr>
              <w:t>    </w:t>
            </w:r>
            <w:bookmarkStart w:id="3" w:name="_Toc408932322"/>
            <w:r>
              <w:rPr>
                <w:rFonts w:hint="eastAsia" w:ascii="宋体" w:hAnsi="宋体" w:eastAsia="宋体" w:cs="宋体"/>
                <w:caps w:val="0"/>
                <w:spacing w:val="0"/>
                <w:sz w:val="20"/>
                <w:szCs w:val="20"/>
              </w:rPr>
              <w:t>二、楼市发展趋势分析</w:t>
            </w:r>
            <w:bookmarkEnd w:id="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土地状况：</w:t>
            </w:r>
          </w:p>
          <w:tbl>
            <w:tblPr>
              <w:tblW w:w="7656" w:type="dxa"/>
              <w:jc w:val="center"/>
              <w:tblCellSpacing w:w="0" w:type="dxa"/>
              <w:tblInd w:w="31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178"/>
              <w:gridCol w:w="1358"/>
              <w:gridCol w:w="1250"/>
              <w:gridCol w:w="1250"/>
              <w:gridCol w:w="1346"/>
              <w:gridCol w:w="12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178" w:type="dxa"/>
                  <w:vMerge w:val="restart"/>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指标</w:t>
                  </w:r>
                </w:p>
              </w:tc>
              <w:tc>
                <w:tcPr>
                  <w:tcW w:w="1358"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推出面积</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成交面积</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出让金</w:t>
                  </w:r>
                </w:p>
              </w:tc>
              <w:tc>
                <w:tcPr>
                  <w:tcW w:w="1346"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楼面均价</w:t>
                  </w:r>
                </w:p>
              </w:tc>
              <w:tc>
                <w:tcPr>
                  <w:tcW w:w="1274" w:type="dxa"/>
                  <w:vMerge w:val="restart"/>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溢价率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178" w:type="dxa"/>
                  <w:vMerge w:val="continue"/>
                  <w:shd w:val="clear"/>
                  <w:vAlign w:val="center"/>
                </w:tcPr>
                <w:p>
                  <w:pPr>
                    <w:rPr>
                      <w:rFonts w:hint="eastAsia" w:ascii="宋体" w:hAnsi="宋体" w:eastAsia="宋体" w:cs="宋体"/>
                      <w:sz w:val="14"/>
                      <w:szCs w:val="14"/>
                    </w:rPr>
                  </w:pPr>
                </w:p>
              </w:tc>
              <w:tc>
                <w:tcPr>
                  <w:tcW w:w="1358"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(亿元)</w:t>
                  </w:r>
                </w:p>
              </w:tc>
              <w:tc>
                <w:tcPr>
                  <w:tcW w:w="1346"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(元/平方米)</w:t>
                  </w:r>
                </w:p>
              </w:tc>
              <w:tc>
                <w:tcPr>
                  <w:tcW w:w="1274" w:type="dxa"/>
                  <w:vMerge w:val="continue"/>
                  <w:shd w:val="clear"/>
                  <w:vAlign w:val="center"/>
                </w:tcPr>
                <w:p>
                  <w:pPr>
                    <w:rPr>
                      <w:rFonts w:hint="eastAsia" w:ascii="宋体" w:hAnsi="宋体" w:eastAsia="宋体" w:cs="宋体"/>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178"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绝对量</w:t>
                  </w:r>
                </w:p>
              </w:tc>
              <w:tc>
                <w:tcPr>
                  <w:tcW w:w="1358"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135659</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104032</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23412</w:t>
                  </w:r>
                </w:p>
              </w:tc>
              <w:tc>
                <w:tcPr>
                  <w:tcW w:w="1346"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1234</w:t>
                  </w:r>
                </w:p>
              </w:tc>
              <w:tc>
                <w:tcPr>
                  <w:tcW w:w="1274"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178"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同比</w:t>
                  </w:r>
                </w:p>
              </w:tc>
              <w:tc>
                <w:tcPr>
                  <w:tcW w:w="1358"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-24%</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-31%</w:t>
                  </w:r>
                </w:p>
              </w:tc>
              <w:tc>
                <w:tcPr>
                  <w:tcW w:w="1250"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-27%</w:t>
                  </w:r>
                </w:p>
              </w:tc>
              <w:tc>
                <w:tcPr>
                  <w:tcW w:w="1346"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6%</w:t>
                  </w:r>
                </w:p>
              </w:tc>
              <w:tc>
                <w:tcPr>
                  <w:tcW w:w="1274" w:type="dxa"/>
                  <w:shd w:val="clear"/>
                  <w:vAlign w:val="center"/>
                </w:tcPr>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-5%</w:t>
                  </w:r>
                </w:p>
              </w:tc>
            </w:tr>
          </w:tbl>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t>供应情况：</w:t>
            </w:r>
            <w:r>
              <w:rPr>
                <w:rFonts w:hint="eastAsia" w:ascii="宋体" w:hAnsi="宋体" w:eastAsia="宋体" w:cs="宋体"/>
                <w:caps w:val="0"/>
                <w:spacing w:val="0"/>
                <w:kern w:val="0"/>
                <w:sz w:val="14"/>
                <w:szCs w:val="14"/>
                <w:lang w:val="en-US" w:eastAsia="zh-CN" w:bidi="ar"/>
              </w:rPr>
              <w:t>2014年，全国300个城市共推出土地36260宗，同比减少20%；推出土地面积135659万平方米，同比减少24%。其中，住宅类用地（含住宅用地及包含住宅用地的综合性用地）11088宗，同比减少26%；推出土地面积48486万平方米，同比减少28%。</w:t>
            </w:r>
            <w:r>
              <w:rPr>
                <w:rFonts w:hint="eastAsia" w:ascii="宋体" w:hAnsi="宋体" w:eastAsia="宋体" w:cs="宋体"/>
                <w:b/>
                <w:caps w:val="0"/>
                <w:spacing w:val="0"/>
                <w:kern w:val="0"/>
                <w:sz w:val="14"/>
                <w:szCs w:val="14"/>
                <w:lang w:val="en-US" w:eastAsia="zh-CN" w:bidi="ar"/>
              </w:rPr>
              <w:t>二季度起供地节奏放缓，同比降幅均在两成以上，供应总量较2013年回落。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12月全国300个城市共推出土地4993宗，推出土地面积19518万平方米，环比增加126%，同比减少29%。其中，住宅类用地（含住宅用地及包含住宅用地的综合性用地）1759宗，推出土地面积7461万平方米，环比增加127%，同比减少36%。</w:t>
            </w:r>
            <w:r>
              <w:rPr>
                <w:rFonts w:hint="eastAsia" w:ascii="宋体" w:hAnsi="宋体" w:eastAsia="宋体" w:cs="宋体"/>
                <w:b/>
                <w:caps w:val="0"/>
                <w:spacing w:val="0"/>
                <w:kern w:val="0"/>
                <w:sz w:val="14"/>
                <w:szCs w:val="14"/>
                <w:lang w:val="en-US" w:eastAsia="zh-CN" w:bidi="ar"/>
              </w:rPr>
              <w:t>全国主要城市推地量环比开始大幅上升，而同比仍在下跌。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4800600" cy="1933575"/>
                  <wp:effectExtent l="0" t="0" r="0" b="190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
                          <a:stretch>
                            <a:fillRect/>
                          </a:stretch>
                        </pic:blipFill>
                        <pic:spPr>
                          <a:xfrm>
                            <a:off x="0" y="0"/>
                            <a:ext cx="4800600" cy="1933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t> 成交情况：</w:t>
            </w:r>
            <w:r>
              <w:rPr>
                <w:rFonts w:hint="eastAsia" w:ascii="宋体" w:hAnsi="宋体" w:eastAsia="宋体" w:cs="宋体"/>
                <w:caps w:val="0"/>
                <w:spacing w:val="0"/>
                <w:kern w:val="0"/>
                <w:sz w:val="14"/>
                <w:szCs w:val="14"/>
                <w:lang w:val="en-US" w:eastAsia="zh-CN" w:bidi="ar"/>
              </w:rPr>
              <w:t>全国300个城市共成交土地27907宗，同比减少28%；成交面积104032万平方米，同比减少31%。其中，住宅用地（含住宅用地及包含住宅用地的综合性用地）7941宗，同比减少35%，成交面积35377万平方米，同比减少36%。成交量保持低位运行，降幅大于供应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12月全国300个城市共成交土地3011宗，成交土地面积11620万平方米，环比增加118%，同比减少47%。其中，住宅类用地（含住宅用地及包含住宅用地的综合性用地）1022宗，成交土地面积4324万平方米，环比增加113%，同比减少47%。</w:t>
            </w:r>
            <w:r>
              <w:rPr>
                <w:rFonts w:hint="eastAsia" w:ascii="宋体" w:hAnsi="宋体" w:eastAsia="宋体" w:cs="宋体"/>
                <w:b/>
                <w:caps w:val="0"/>
                <w:spacing w:val="0"/>
                <w:kern w:val="0"/>
                <w:sz w:val="14"/>
                <w:szCs w:val="14"/>
                <w:lang w:val="en-US" w:eastAsia="zh-CN" w:bidi="ar"/>
              </w:rPr>
              <w:t>全国主要城市成交量大幅回升，但却不及去年同期。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t> 成交价格：</w:t>
            </w:r>
            <w:r>
              <w:rPr>
                <w:rFonts w:hint="eastAsia" w:ascii="宋体" w:hAnsi="宋体" w:eastAsia="宋体" w:cs="宋体"/>
                <w:caps w:val="0"/>
                <w:spacing w:val="0"/>
                <w:kern w:val="0"/>
                <w:sz w:val="14"/>
                <w:szCs w:val="14"/>
                <w:lang w:val="en-US" w:eastAsia="zh-CN" w:bidi="ar"/>
              </w:rPr>
              <w:t>全国300个城市成交楼面均价为1234元/平方米，同比上涨6%；其中住宅类用地（含住宅用地及包含住宅用地的综合性用地）成交楼面均价为1834元/平方米，同比上涨13%。</w:t>
            </w:r>
            <w:r>
              <w:rPr>
                <w:rFonts w:hint="eastAsia" w:ascii="宋体" w:hAnsi="宋体" w:eastAsia="宋体" w:cs="宋体"/>
                <w:b/>
                <w:caps w:val="0"/>
                <w:spacing w:val="0"/>
                <w:kern w:val="0"/>
                <w:sz w:val="14"/>
                <w:szCs w:val="14"/>
                <w:lang w:val="en-US" w:eastAsia="zh-CN" w:bidi="ar"/>
              </w:rPr>
              <w:t>重点城市优质地块拉高均价水平，除三季度外均同比上涨，宅地价格领涨。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12月全国300个城市成交楼面均价为1250元/平方米，环比下跌31%，同比上涨6%；其中住宅类用地（含住宅用地及包含住宅用地的综合性用地）成交楼面均价为1770元/平方米，环比下跌41%，同比上涨2%。</w:t>
            </w:r>
            <w:r>
              <w:rPr>
                <w:rFonts w:hint="eastAsia" w:ascii="宋体" w:hAnsi="宋体" w:eastAsia="宋体" w:cs="宋体"/>
                <w:b/>
                <w:caps w:val="0"/>
                <w:spacing w:val="0"/>
                <w:kern w:val="0"/>
                <w:sz w:val="14"/>
                <w:szCs w:val="14"/>
                <w:lang w:val="en-US" w:eastAsia="zh-CN" w:bidi="ar"/>
              </w:rPr>
              <w:t>本月楼面均价要好于去年同期，但却不及上月。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本月监测的100个城市中成交价格环比上涨的有30个，较上月增加了7个，其中厦门、珠海及湖州涨幅最大，在1%以上；而其余70个城市均环比下跌，其中温州跌幅最大，在3%以上。10个重点城市中5个上涨，较上月增加1个，其中杭州涨幅最大，其环比上涨0.73%；而其余城市均出现不同程度的下跌。</w:t>
            </w:r>
            <w:r>
              <w:rPr>
                <w:rFonts w:hint="eastAsia" w:ascii="宋体" w:hAnsi="宋体" w:eastAsia="宋体" w:cs="宋体"/>
                <w:b/>
                <w:caps w:val="0"/>
                <w:spacing w:val="0"/>
                <w:kern w:val="0"/>
                <w:sz w:val="14"/>
                <w:szCs w:val="14"/>
                <w:lang w:val="en-US" w:eastAsia="zh-CN" w:bidi="ar"/>
              </w:rPr>
              <w:t>总体而言，本月成交价格下跌态势有所缓和。</w:t>
            </w:r>
            <w:bookmarkStart w:id="4" w:name="_Toc374521661"/>
            <w:bookmarkEnd w:id="4"/>
          </w:p>
          <w:p>
            <w:pPr>
              <w:pStyle w:val="2"/>
              <w:keepNext w:val="0"/>
              <w:keepLines w:val="0"/>
              <w:widowControl/>
              <w:suppressLineNumbers w:val="0"/>
              <w:spacing w:line="24" w:lineRule="atLeast"/>
              <w:jc w:val="left"/>
            </w:pPr>
            <w:r>
              <w:rPr>
                <w:caps w:val="0"/>
                <w:spacing w:val="0"/>
              </w:rPr>
              <w:t>               </w:t>
            </w:r>
            <w:bookmarkStart w:id="5" w:name="_Toc408932323"/>
            <w:r>
              <w:rPr>
                <w:rFonts w:hint="eastAsia" w:ascii="宋体" w:hAnsi="宋体" w:eastAsia="宋体" w:cs="宋体"/>
                <w:caps w:val="0"/>
                <w:spacing w:val="0"/>
                <w:sz w:val="27"/>
                <w:szCs w:val="27"/>
              </w:rPr>
              <w:t>第二部分   </w:t>
            </w:r>
            <w:bookmarkEnd w:id="5"/>
            <w:r>
              <w:rPr>
                <w:rFonts w:hint="eastAsia" w:ascii="宋体" w:hAnsi="宋体" w:eastAsia="宋体" w:cs="宋体"/>
                <w:caps w:val="0"/>
                <w:spacing w:val="0"/>
                <w:sz w:val="27"/>
                <w:szCs w:val="27"/>
              </w:rPr>
              <w:t>荆门土地市场分析</w:t>
            </w:r>
            <w:r>
              <w:rPr>
                <w:caps w:val="0"/>
                <w:spacing w:val="0"/>
              </w:rPr>
              <w:t>       </w:t>
            </w:r>
          </w:p>
          <w:p>
            <w:pPr>
              <w:pStyle w:val="3"/>
              <w:keepNext w:val="0"/>
              <w:keepLines w:val="0"/>
              <w:widowControl/>
              <w:suppressLineNumbers w:val="0"/>
              <w:spacing w:line="24" w:lineRule="atLeast"/>
            </w:pPr>
            <w:bookmarkStart w:id="6" w:name="_Toc408932324"/>
            <w:bookmarkEnd w:id="6"/>
            <w:bookmarkStart w:id="7" w:name="_Toc374521662"/>
            <w:bookmarkEnd w:id="7"/>
            <w:bookmarkStart w:id="8" w:name="_Toc372096370"/>
            <w:bookmarkEnd w:id="8"/>
            <w:bookmarkStart w:id="9" w:name="_Toc372095421"/>
            <w:bookmarkEnd w:id="9"/>
            <w:bookmarkStart w:id="10" w:name="_Toc372095340"/>
            <w:bookmarkEnd w:id="10"/>
            <w:bookmarkStart w:id="11" w:name="_Toc371849982"/>
            <w:bookmarkEnd w:id="11"/>
            <w:bookmarkStart w:id="12" w:name="_Toc371849857"/>
            <w:bookmarkEnd w:id="12"/>
            <w:bookmarkStart w:id="13" w:name="_Toc369853714"/>
            <w:bookmarkEnd w:id="13"/>
            <w:bookmarkStart w:id="14" w:name="_Toc366241970"/>
            <w:bookmarkEnd w:id="14"/>
            <w:bookmarkStart w:id="15" w:name="_Toc360803238"/>
            <w:bookmarkEnd w:id="15"/>
            <w:bookmarkStart w:id="16" w:name="_Toc5818"/>
            <w:bookmarkEnd w:id="16"/>
            <w:r>
              <w:rPr>
                <w:rFonts w:hint="eastAsia" w:ascii="宋体" w:hAnsi="宋体" w:eastAsia="宋体" w:cs="宋体"/>
                <w:caps w:val="0"/>
                <w:spacing w:val="0"/>
                <w:sz w:val="20"/>
                <w:szCs w:val="20"/>
              </w:rPr>
              <w:t>    一、土地供应市场解析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17" w:name="_Toc360803239"/>
            <w:bookmarkEnd w:id="17"/>
            <w:r>
              <w:rPr>
                <w:rFonts w:hint="eastAsia" w:ascii="宋体" w:hAnsi="宋体" w:eastAsia="宋体" w:cs="宋体"/>
                <w:caps w:val="0"/>
                <w:spacing w:val="0"/>
                <w:kern w:val="0"/>
                <w:sz w:val="14"/>
                <w:szCs w:val="14"/>
                <w:lang w:val="en-US" w:eastAsia="zh-CN" w:bidi="ar"/>
              </w:rPr>
              <w:t>       </w:t>
            </w:r>
            <w:bookmarkStart w:id="18" w:name="_Toc360803133"/>
            <w:r>
              <w:rPr>
                <w:rFonts w:hint="eastAsia" w:ascii="宋体" w:hAnsi="宋体" w:eastAsia="宋体" w:cs="宋体"/>
                <w:b/>
                <w:caps w:val="0"/>
                <w:spacing w:val="0"/>
                <w:kern w:val="0"/>
                <w:sz w:val="20"/>
                <w:szCs w:val="20"/>
                <w:lang w:val="en-US" w:eastAsia="zh-CN" w:bidi="ar"/>
              </w:rPr>
              <w:t>1.</w:t>
            </w:r>
            <w:bookmarkEnd w:id="18"/>
            <w:r>
              <w:rPr>
                <w:rFonts w:hint="eastAsia" w:ascii="宋体" w:hAnsi="宋体" w:eastAsia="宋体" w:cs="宋体"/>
                <w:b/>
                <w:caps w:val="0"/>
                <w:spacing w:val="0"/>
                <w:kern w:val="0"/>
                <w:sz w:val="20"/>
                <w:szCs w:val="20"/>
                <w:lang w:val="en-US" w:eastAsia="zh-CN" w:bidi="ar"/>
              </w:rPr>
              <w:t>本月出让地块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19" w:name="_Toc360803240"/>
            <w:bookmarkEnd w:id="19"/>
            <w:r>
              <w:rPr>
                <w:rFonts w:hint="eastAsia" w:ascii="宋体" w:hAnsi="宋体" w:eastAsia="宋体" w:cs="宋体"/>
                <w:caps w:val="0"/>
                <w:spacing w:val="0"/>
                <w:kern w:val="0"/>
                <w:sz w:val="14"/>
                <w:szCs w:val="14"/>
                <w:lang w:val="en-US" w:eastAsia="zh-CN" w:bidi="ar"/>
              </w:rPr>
              <w:t>      </w:t>
            </w:r>
            <w:bookmarkStart w:id="20" w:name="_Toc360803134"/>
            <w:r>
              <w:rPr>
                <w:rFonts w:hint="eastAsia" w:ascii="宋体" w:hAnsi="宋体" w:eastAsia="宋体" w:cs="宋体"/>
                <w:caps w:val="0"/>
                <w:spacing w:val="0"/>
                <w:kern w:val="0"/>
                <w:sz w:val="20"/>
                <w:szCs w:val="20"/>
                <w:lang w:val="en-US" w:eastAsia="zh-CN" w:bidi="ar"/>
              </w:rPr>
              <w:t>本月出让地块9宗，出让总面积22.2万方，出让总额1.75亿。本月出让面积环比增加0.78倍，同比下降0.67倍。本月出让地块列表如下：</w:t>
            </w:r>
            <w:bookmarkEnd w:id="20"/>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12月出让地块详情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5334000" cy="2724150"/>
                  <wp:effectExtent l="0" t="0" r="0" b="381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5334000" cy="2724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1" w:name="_Toc374521663"/>
            <w:bookmarkEnd w:id="21"/>
            <w:bookmarkStart w:id="22" w:name="_Toc372096371"/>
            <w:bookmarkEnd w:id="22"/>
            <w:bookmarkStart w:id="23" w:name="_Toc372095422"/>
            <w:bookmarkEnd w:id="23"/>
            <w:bookmarkStart w:id="24" w:name="_Toc372095341"/>
            <w:bookmarkEnd w:id="24"/>
            <w:bookmarkStart w:id="25" w:name="_Toc371849983"/>
            <w:bookmarkEnd w:id="25"/>
            <w:bookmarkStart w:id="26" w:name="_Toc371849858"/>
            <w:bookmarkEnd w:id="26"/>
            <w:bookmarkStart w:id="27" w:name="_Toc369853715"/>
            <w:bookmarkEnd w:id="27"/>
            <w:bookmarkStart w:id="28" w:name="_Toc366241971"/>
            <w:bookmarkEnd w:id="28"/>
            <w:r>
              <w:rPr>
                <w:rFonts w:hint="eastAsia" w:ascii="宋体" w:hAnsi="宋体" w:eastAsia="宋体" w:cs="宋体"/>
                <w:caps w:val="0"/>
                <w:spacing w:val="0"/>
                <w:kern w:val="0"/>
                <w:sz w:val="14"/>
                <w:szCs w:val="14"/>
                <w:lang w:val="en-US" w:eastAsia="zh-CN" w:bidi="ar"/>
              </w:rPr>
              <w:t>       </w:t>
            </w:r>
            <w:bookmarkStart w:id="29" w:name="_Toc360803241"/>
            <w:r>
              <w:rPr>
                <w:rFonts w:hint="eastAsia" w:ascii="宋体" w:hAnsi="宋体" w:eastAsia="宋体" w:cs="宋体"/>
                <w:caps w:val="0"/>
                <w:spacing w:val="0"/>
                <w:kern w:val="0"/>
                <w:sz w:val="20"/>
                <w:szCs w:val="20"/>
                <w:lang w:val="en-US" w:eastAsia="zh-CN" w:bidi="ar"/>
              </w:rPr>
              <w:t>从用地性质上来看，</w:t>
            </w:r>
            <w:r>
              <w:rPr>
                <w:rFonts w:hint="eastAsia" w:ascii="宋体" w:hAnsi="宋体" w:eastAsia="宋体" w:cs="宋体"/>
                <w:b/>
                <w:caps w:val="0"/>
                <w:spacing w:val="0"/>
                <w:kern w:val="0"/>
                <w:sz w:val="20"/>
                <w:szCs w:val="20"/>
                <w:lang w:val="en-US" w:eastAsia="zh-CN" w:bidi="ar"/>
              </w:rPr>
              <w:t>以商业、住宅用地为主，</w:t>
            </w:r>
            <w:r>
              <w:rPr>
                <w:rFonts w:hint="eastAsia" w:ascii="宋体" w:hAnsi="宋体" w:eastAsia="宋体" w:cs="宋体"/>
                <w:caps w:val="0"/>
                <w:spacing w:val="0"/>
                <w:kern w:val="0"/>
                <w:sz w:val="20"/>
                <w:szCs w:val="20"/>
                <w:lang w:val="en-US" w:eastAsia="zh-CN" w:bidi="ar"/>
              </w:rPr>
              <w:t>其中3宗商业用地、2宗商住用地、2宗住宅用地及2宗工业用地。从区域上来看，</w:t>
            </w:r>
            <w:r>
              <w:rPr>
                <w:rFonts w:hint="eastAsia" w:ascii="宋体" w:hAnsi="宋体" w:eastAsia="宋体" w:cs="宋体"/>
                <w:b/>
                <w:caps w:val="0"/>
                <w:spacing w:val="0"/>
                <w:kern w:val="0"/>
                <w:sz w:val="20"/>
                <w:szCs w:val="20"/>
                <w:lang w:val="en-US" w:eastAsia="zh-CN" w:bidi="ar"/>
              </w:rPr>
              <w:t>主要集中掇刀区</w:t>
            </w:r>
            <w:r>
              <w:rPr>
                <w:rFonts w:hint="eastAsia" w:ascii="宋体" w:hAnsi="宋体" w:eastAsia="宋体" w:cs="宋体"/>
                <w:caps w:val="0"/>
                <w:spacing w:val="0"/>
                <w:kern w:val="0"/>
                <w:sz w:val="20"/>
                <w:szCs w:val="20"/>
                <w:lang w:val="en-US" w:eastAsia="zh-CN" w:bidi="ar"/>
              </w:rPr>
              <w:t>，其中掇</w:t>
            </w:r>
            <w:bookmarkEnd w:id="29"/>
            <w:r>
              <w:rPr>
                <w:rFonts w:hint="eastAsia" w:ascii="宋体" w:hAnsi="宋体" w:eastAsia="宋体" w:cs="宋体"/>
                <w:caps w:val="0"/>
                <w:spacing w:val="0"/>
                <w:kern w:val="0"/>
                <w:sz w:val="20"/>
                <w:szCs w:val="20"/>
                <w:lang w:val="en-US" w:eastAsia="zh-CN" w:bidi="ar"/>
              </w:rPr>
              <w:t>刀区5宗、东宝区2宗、漳河新区1宗及高新区1宗。从住宅类用地供应量上来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看，出让面积为16.5万方，环比上涨了1.7倍，同比减少67%，</w:t>
            </w:r>
            <w:r>
              <w:rPr>
                <w:rFonts w:hint="eastAsia" w:ascii="宋体" w:hAnsi="宋体" w:eastAsia="宋体" w:cs="宋体"/>
                <w:b/>
                <w:caps w:val="0"/>
                <w:spacing w:val="0"/>
                <w:kern w:val="0"/>
                <w:sz w:val="20"/>
                <w:szCs w:val="20"/>
                <w:lang w:val="en-US" w:eastAsia="zh-CN" w:bidi="ar"/>
              </w:rPr>
              <w:t>住宅类用地环比大幅增加，同比有所减少</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本月漳河新区新添住宅类用地，</w:t>
            </w:r>
            <w:r>
              <w:rPr>
                <w:rFonts w:hint="eastAsia" w:ascii="宋体" w:hAnsi="宋体" w:eastAsia="宋体" w:cs="宋体"/>
                <w:b/>
                <w:caps w:val="0"/>
                <w:spacing w:val="0"/>
                <w:kern w:val="0"/>
                <w:sz w:val="20"/>
                <w:szCs w:val="20"/>
                <w:lang w:val="en-US" w:eastAsia="zh-CN" w:bidi="ar"/>
              </w:rPr>
              <w:t>城市西扩有进项</w:t>
            </w:r>
            <w:r>
              <w:rPr>
                <w:rFonts w:hint="eastAsia" w:ascii="宋体" w:hAnsi="宋体" w:eastAsia="宋体" w:cs="宋体"/>
                <w:caps w:val="0"/>
                <w:spacing w:val="0"/>
                <w:kern w:val="0"/>
                <w:sz w:val="20"/>
                <w:szCs w:val="20"/>
                <w:lang w:val="en-US" w:eastAsia="zh-CN" w:bidi="ar"/>
              </w:rPr>
              <w:t>。继碧桂园、楚天城入驻漳河新区后，又迎来了万达与大家装，城西的建设与发展在不断的推进中。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3.出让地块介绍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【荆土网挂（2014）44号】</w:t>
            </w:r>
            <w:r>
              <w:rPr>
                <w:rFonts w:hint="eastAsia" w:ascii="宋体" w:hAnsi="宋体" w:eastAsia="宋体" w:cs="宋体"/>
                <w:caps w:val="0"/>
                <w:spacing w:val="0"/>
                <w:kern w:val="0"/>
                <w:sz w:val="20"/>
                <w:szCs w:val="20"/>
                <w:lang w:val="en-US" w:eastAsia="zh-CN" w:bidi="ar"/>
              </w:rPr>
              <w:t>地块位于白云大道东侧，属原荆门3326厂收储地块，附近楼盘有锦绣江南、现代花园，预计未来放量为18万方。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【荆漳土网挂[2014]03号】</w:t>
            </w:r>
            <w:r>
              <w:rPr>
                <w:rFonts w:hint="eastAsia" w:ascii="宋体" w:hAnsi="宋体" w:eastAsia="宋体" w:cs="宋体"/>
                <w:caps w:val="0"/>
                <w:spacing w:val="0"/>
                <w:kern w:val="0"/>
                <w:sz w:val="20"/>
                <w:szCs w:val="20"/>
                <w:lang w:val="en-US" w:eastAsia="zh-CN" w:bidi="ar"/>
              </w:rPr>
              <w:t>地块位于漳河镇同乐村副坝堤南侧，预计未来放量为12.3万方。</w:t>
            </w:r>
          </w:p>
          <w:p>
            <w:pPr>
              <w:pStyle w:val="3"/>
              <w:keepNext w:val="0"/>
              <w:keepLines w:val="0"/>
              <w:widowControl/>
              <w:suppressLineNumbers w:val="0"/>
              <w:spacing w:line="24" w:lineRule="atLeast"/>
              <w:jc w:val="left"/>
            </w:pPr>
            <w:r>
              <w:rPr>
                <w:caps w:val="0"/>
                <w:spacing w:val="0"/>
              </w:rPr>
              <w:t>    </w:t>
            </w:r>
            <w:bookmarkStart w:id="30" w:name="_Toc408932325"/>
            <w:r>
              <w:rPr>
                <w:rFonts w:hint="eastAsia" w:ascii="宋体" w:hAnsi="宋体" w:eastAsia="宋体" w:cs="宋体"/>
                <w:caps w:val="0"/>
                <w:spacing w:val="0"/>
                <w:sz w:val="20"/>
                <w:szCs w:val="20"/>
              </w:rPr>
              <w:t>二、本月土地成交情况</w:t>
            </w:r>
            <w:bookmarkEnd w:id="30"/>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受楼市不景气形势影响，本月仅成交一宗土地</w:t>
            </w:r>
            <w:r>
              <w:rPr>
                <w:rFonts w:hint="eastAsia" w:ascii="宋体" w:hAnsi="宋体" w:eastAsia="宋体" w:cs="宋体"/>
                <w:caps w:val="0"/>
                <w:spacing w:val="0"/>
                <w:kern w:val="0"/>
                <w:sz w:val="14"/>
                <w:szCs w:val="14"/>
                <w:lang w:val="en-US" w:eastAsia="zh-CN" w:bidi="ar"/>
              </w:rPr>
              <w:t>。</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723900"/>
                  <wp:effectExtent l="0" t="0" r="0" b="762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5334000" cy="723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2、2014年1月—2014年12月土地市场成交走势</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476500" cy="1733550"/>
                  <wp:effectExtent l="0" t="0" r="7620"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2476500" cy="17335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466975" cy="1733550"/>
                  <wp:effectExtent l="0" t="0" r="1905" b="381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246697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纵观2014年土地成交市场，楼市低迷，地方政府推地热情有所减弱，开发商对市场的态度也比较谨慎，从年初到7月，成交量可谓是涨涨跌跌频频变换，一路呈下滑趋势，但都是在小范围内波动，直至8月大波移动，成交量陡增，一跃而起成为2014年土地市场巅峰。全年荆门土地市场成交量约135万方。参照去年的行情，预测2015年</w:t>
            </w:r>
            <w:r>
              <w:rPr>
                <w:rFonts w:hint="eastAsia" w:ascii="宋体" w:hAnsi="宋体" w:eastAsia="宋体" w:cs="宋体"/>
                <w:b/>
                <w:caps w:val="0"/>
                <w:spacing w:val="0"/>
                <w:kern w:val="0"/>
                <w:sz w:val="20"/>
                <w:szCs w:val="20"/>
                <w:lang w:val="en-US" w:eastAsia="zh-CN" w:bidi="ar"/>
              </w:rPr>
              <w:t>将存在一定的上升空间，但力度不会很大。价格方面受成交地块区位影响，呈现“量跌价升”的现象。</w:t>
            </w:r>
          </w:p>
          <w:p>
            <w:pPr>
              <w:pStyle w:val="2"/>
              <w:keepNext w:val="0"/>
              <w:keepLines w:val="0"/>
              <w:widowControl/>
              <w:suppressLineNumbers w:val="0"/>
              <w:spacing w:line="24" w:lineRule="atLeast"/>
              <w:jc w:val="center"/>
            </w:pPr>
            <w:bookmarkStart w:id="31" w:name="_Toc408932326"/>
            <w:r>
              <w:rPr>
                <w:rFonts w:hint="eastAsia" w:ascii="宋体" w:hAnsi="宋体" w:eastAsia="宋体" w:cs="宋体"/>
                <w:caps w:val="0"/>
                <w:spacing w:val="0"/>
                <w:sz w:val="27"/>
                <w:szCs w:val="27"/>
              </w:rPr>
              <w:t>第三部分   </w:t>
            </w:r>
            <w:bookmarkEnd w:id="31"/>
            <w:r>
              <w:rPr>
                <w:rFonts w:hint="eastAsia" w:ascii="宋体" w:hAnsi="宋体" w:eastAsia="宋体" w:cs="宋体"/>
                <w:caps w:val="0"/>
                <w:spacing w:val="0"/>
                <w:sz w:val="27"/>
                <w:szCs w:val="27"/>
              </w:rPr>
              <w:t>荆门楼市供求分析</w:t>
            </w:r>
          </w:p>
          <w:p>
            <w:pPr>
              <w:pStyle w:val="3"/>
              <w:keepNext w:val="0"/>
              <w:keepLines w:val="0"/>
              <w:widowControl/>
              <w:suppressLineNumbers w:val="0"/>
              <w:spacing w:line="24" w:lineRule="atLeast"/>
              <w:jc w:val="left"/>
            </w:pPr>
            <w:bookmarkStart w:id="32" w:name="_Toc408932327"/>
            <w:bookmarkEnd w:id="32"/>
            <w:bookmarkStart w:id="33" w:name="_Toc358387317"/>
            <w:bookmarkEnd w:id="33"/>
            <w:r>
              <w:rPr>
                <w:caps w:val="0"/>
                <w:spacing w:val="0"/>
              </w:rPr>
              <w:t>    </w:t>
            </w:r>
            <w:bookmarkStart w:id="34" w:name="_Toc17547"/>
            <w:r>
              <w:rPr>
                <w:rFonts w:hint="eastAsia" w:ascii="宋体" w:hAnsi="宋体" w:eastAsia="宋体" w:cs="宋体"/>
                <w:caps w:val="0"/>
                <w:spacing w:val="0"/>
                <w:sz w:val="20"/>
                <w:szCs w:val="20"/>
              </w:rPr>
              <w:t>一、住宅成交情况</w:t>
            </w:r>
            <w:bookmarkEnd w:id="34"/>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12月荆门市住宅类商品房交易情况对照表：</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733425"/>
                  <wp:effectExtent l="0" t="0" r="0" b="1333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334000" cy="733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荆门岁末逆袭,创下半年销售新高:据荆门市房</w:t>
            </w:r>
            <w:bookmarkStart w:id="35" w:name="_Toc358387321"/>
            <w:r>
              <w:rPr>
                <w:rFonts w:hint="eastAsia" w:ascii="宋体" w:hAnsi="宋体" w:eastAsia="宋体" w:cs="宋体"/>
                <w:caps w:val="0"/>
                <w:spacing w:val="0"/>
                <w:kern w:val="0"/>
                <w:sz w:val="20"/>
                <w:szCs w:val="20"/>
                <w:lang w:val="en-US" w:eastAsia="zh-CN" w:bidi="ar"/>
              </w:rPr>
              <w:t>地产市场信息发布平台数据显示：</w:t>
            </w:r>
            <w:bookmarkEnd w:id="35"/>
            <w:r>
              <w:rPr>
                <w:rFonts w:hint="eastAsia" w:ascii="宋体" w:hAnsi="宋体" w:eastAsia="宋体" w:cs="宋体"/>
                <w:caps w:val="0"/>
                <w:spacing w:val="0"/>
                <w:kern w:val="0"/>
                <w:sz w:val="20"/>
                <w:szCs w:val="20"/>
                <w:lang w:val="en-US" w:eastAsia="zh-CN" w:bidi="ar"/>
              </w:rPr>
              <w:t>2014年12月，荆门市住宅类商品房成交总套数1054套，较2014年11月增加了318套，环比增加42%；销售总面积152037㎡，较2014年11月增加了70537㎡；环比增长35%,销售均价3611.15元/㎡。环比11月下降了287.72元/平米，环比下跌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分析原因主要原因为开发商采取以价换量策略，加大去库存力度。</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2014年2-12月住宅成交情况一览</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590800" cy="1733550"/>
                  <wp:effectExtent l="0" t="0" r="0" b="381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2590800" cy="17335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2676525" cy="1733550"/>
                  <wp:effectExtent l="0" t="0" r="5715" b="381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2676525" cy="17335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ind w:left="0" w:firstLine="602"/>
              <w:jc w:val="left"/>
            </w:pPr>
            <w:bookmarkStart w:id="36" w:name="_Toc408932328"/>
            <w:r>
              <w:rPr>
                <w:rFonts w:hint="eastAsia" w:ascii="宋体" w:hAnsi="宋体" w:eastAsia="宋体" w:cs="宋体"/>
                <w:caps w:val="0"/>
                <w:spacing w:val="0"/>
                <w:sz w:val="20"/>
                <w:szCs w:val="20"/>
              </w:rPr>
              <w:t>二、非住宅成交情况</w:t>
            </w:r>
            <w:bookmarkEnd w:id="36"/>
          </w:p>
          <w:p>
            <w:pPr>
              <w:pStyle w:val="4"/>
              <w:keepNext w:val="0"/>
              <w:keepLines w:val="0"/>
              <w:widowControl/>
              <w:suppressLineNumbers w:val="0"/>
              <w:spacing w:before="0" w:beforeAutospacing="0" w:after="0" w:afterAutospacing="0" w:line="216" w:lineRule="atLeast"/>
              <w:ind w:left="0" w:right="0" w:firstLine="0"/>
              <w:jc w:val="center"/>
            </w:pPr>
            <w:r>
              <w:rPr>
                <w:rStyle w:val="7"/>
                <w:rFonts w:hint="eastAsia" w:ascii="宋体" w:hAnsi="宋体" w:eastAsia="宋体" w:cs="宋体"/>
                <w:caps w:val="0"/>
                <w:spacing w:val="0"/>
                <w:sz w:val="20"/>
                <w:szCs w:val="20"/>
              </w:rPr>
              <w:t>12月荆门市非住宅类商品房交易情况对照表：</w:t>
            </w:r>
          </w:p>
          <w:p>
            <w:pPr>
              <w:pStyle w:val="4"/>
              <w:keepNext w:val="0"/>
              <w:keepLines w:val="0"/>
              <w:widowControl/>
              <w:suppressLineNumbers w:val="0"/>
              <w:spacing w:before="0" w:beforeAutospacing="0" w:after="0" w:afterAutospacing="0" w:line="216" w:lineRule="atLeast"/>
              <w:ind w:left="0" w:right="0" w:firstLine="0"/>
              <w:jc w:val="center"/>
            </w:pPr>
            <w:r>
              <w:rPr>
                <w:rFonts w:hint="eastAsia" w:ascii="宋体" w:hAnsi="宋体" w:eastAsia="宋体" w:cs="宋体"/>
                <w:caps w:val="0"/>
                <w:spacing w:val="0"/>
                <w:sz w:val="14"/>
                <w:szCs w:val="14"/>
                <w:lang w:val="en-US"/>
              </w:rPr>
              <w:drawing>
                <wp:inline distT="0" distB="0" distL="114300" distR="114300">
                  <wp:extent cx="5334000" cy="1181100"/>
                  <wp:effectExtent l="0" t="0" r="0" b="762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5334000" cy="1181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lang w:val="en-US"/>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非住宅成交面积环比有较大的增加。</w:t>
            </w:r>
            <w:r>
              <w:rPr>
                <w:rFonts w:hint="eastAsia" w:ascii="宋体" w:hAnsi="宋体" w:eastAsia="宋体" w:cs="宋体"/>
                <w:caps w:val="0"/>
                <w:spacing w:val="0"/>
                <w:kern w:val="0"/>
                <w:sz w:val="20"/>
                <w:szCs w:val="20"/>
                <w:lang w:val="en-US" w:eastAsia="zh-CN" w:bidi="ar"/>
              </w:rPr>
              <w:t>12月市场成交量赶超11月，源于多方面力量的推动，首先限购政策松绑下，购房者的入市门槛不断降低；央行和银监会的救市政策出台，使得信贷成本降低；荆门市出台</w:t>
            </w:r>
            <w:r>
              <w:rPr>
                <w:rFonts w:hint="eastAsia" w:ascii="宋体" w:hAnsi="宋体" w:eastAsia="宋体" w:cs="宋体"/>
                <w:b/>
                <w:caps w:val="0"/>
                <w:spacing w:val="0"/>
                <w:kern w:val="0"/>
                <w:sz w:val="20"/>
                <w:szCs w:val="20"/>
                <w:lang w:val="en-US" w:eastAsia="zh-CN" w:bidi="ar"/>
              </w:rPr>
              <w:t>“荆六条”</w:t>
            </w:r>
            <w:r>
              <w:rPr>
                <w:rFonts w:hint="eastAsia" w:ascii="宋体" w:hAnsi="宋体" w:eastAsia="宋体" w:cs="宋体"/>
                <w:caps w:val="0"/>
                <w:spacing w:val="0"/>
                <w:kern w:val="0"/>
                <w:sz w:val="20"/>
                <w:szCs w:val="20"/>
                <w:lang w:val="en-US" w:eastAsia="zh-CN" w:bidi="ar"/>
              </w:rPr>
              <w:t>支持合理住房消费、加大金融支持力度、完善住房保障体系、优化房产发展环境；</w:t>
            </w:r>
            <w:r>
              <w:rPr>
                <w:rFonts w:hint="eastAsia" w:ascii="宋体" w:hAnsi="宋体" w:eastAsia="宋体" w:cs="宋体"/>
                <w:b/>
                <w:caps w:val="0"/>
                <w:spacing w:val="0"/>
                <w:kern w:val="0"/>
                <w:sz w:val="20"/>
                <w:szCs w:val="20"/>
                <w:lang w:val="en-US" w:eastAsia="zh-CN" w:bidi="ar"/>
              </w:rPr>
              <w:t>房企继续采取以价换量策略，加大去库存力度</w:t>
            </w:r>
            <w:r>
              <w:rPr>
                <w:rFonts w:hint="eastAsia" w:ascii="宋体" w:hAnsi="宋体" w:eastAsia="宋体" w:cs="宋体"/>
                <w:caps w:val="0"/>
                <w:spacing w:val="0"/>
                <w:kern w:val="0"/>
                <w:sz w:val="20"/>
                <w:szCs w:val="20"/>
                <w:lang w:val="en-US" w:eastAsia="zh-CN" w:bidi="ar"/>
              </w:rPr>
              <w:t>，购房者观望情绪逐渐减弱，入市节奏开始加快。</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lang w:val="en-US"/>
              </w:rPr>
            </w:pPr>
            <w:r>
              <w:rPr>
                <w:rFonts w:hint="eastAsia" w:ascii="宋体" w:hAnsi="宋体" w:eastAsia="宋体" w:cs="宋体"/>
                <w:b/>
                <w:caps w:val="0"/>
                <w:spacing w:val="0"/>
                <w:kern w:val="0"/>
                <w:sz w:val="20"/>
                <w:szCs w:val="20"/>
                <w:lang w:val="en-US" w:eastAsia="zh-CN" w:bidi="ar"/>
              </w:rPr>
              <w:t>2014年2-12月非住宅成交情况一览</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2647950" cy="1733550"/>
                  <wp:effectExtent l="0" t="0" r="3810" b="381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2647950" cy="17335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762250" cy="1733550"/>
                  <wp:effectExtent l="0" t="0" r="11430" b="381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4"/>
                          <a:stretch>
                            <a:fillRect/>
                          </a:stretch>
                        </pic:blipFill>
                        <pic:spPr>
                          <a:xfrm>
                            <a:off x="0" y="0"/>
                            <a:ext cx="2762250" cy="17335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caps w:val="0"/>
                <w:spacing w:val="0"/>
                <w:lang w:val="en-US"/>
              </w:rPr>
              <w:t>    </w:t>
            </w:r>
            <w:bookmarkStart w:id="37" w:name="_Toc408932329"/>
            <w:r>
              <w:rPr>
                <w:rFonts w:hint="eastAsia" w:ascii="宋体" w:hAnsi="宋体" w:eastAsia="宋体" w:cs="宋体"/>
                <w:caps w:val="0"/>
                <w:spacing w:val="0"/>
                <w:sz w:val="20"/>
                <w:szCs w:val="20"/>
                <w:lang w:val="en-US"/>
              </w:rPr>
              <w:t>三、2014年总体成交分析</w:t>
            </w:r>
            <w:bookmarkEnd w:id="3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lang w:val="en-US"/>
              </w:rPr>
            </w:pPr>
            <w:r>
              <w:rPr>
                <w:rFonts w:hint="eastAsia" w:ascii="宋体" w:hAnsi="宋体" w:eastAsia="宋体" w:cs="宋体"/>
                <w:caps w:val="0"/>
                <w:spacing w:val="0"/>
                <w:kern w:val="0"/>
                <w:sz w:val="20"/>
                <w:szCs w:val="20"/>
                <w:lang w:val="en-US" w:eastAsia="zh-CN" w:bidi="ar"/>
              </w:rPr>
              <w:t>     2014，房地产市场在急速下行之中呈现复杂局面，面对不景气市场行情，政府推出一系列措施，限购松绑、利率7折、央行降息、公积金异地互认等。在这样的大背景下</w:t>
            </w:r>
            <w:r>
              <w:rPr>
                <w:rFonts w:hint="eastAsia" w:ascii="宋体" w:hAnsi="宋体" w:eastAsia="宋体" w:cs="宋体"/>
                <w:b/>
                <w:caps w:val="0"/>
                <w:spacing w:val="0"/>
                <w:kern w:val="0"/>
                <w:sz w:val="20"/>
                <w:szCs w:val="20"/>
                <w:lang w:val="en-US" w:eastAsia="zh-CN" w:bidi="ar"/>
              </w:rPr>
              <w:t>2014年1-12月，荆门房地产市场商品房成交量13288套，同比下降4.6%。其中住宅类成交11139套，同比下降8.5%；非住宅类成交2149套，同比上涨22.4%。；住宅类成交均价3558.83元/㎡，同比下降8%。</w:t>
            </w:r>
            <w:r>
              <w:rPr>
                <w:rFonts w:hint="eastAsia" w:ascii="宋体" w:hAnsi="宋体" w:eastAsia="宋体" w:cs="宋体"/>
                <w:caps w:val="0"/>
                <w:spacing w:val="0"/>
                <w:kern w:val="0"/>
                <w:sz w:val="20"/>
                <w:szCs w:val="20"/>
                <w:lang w:val="en-US" w:eastAsia="zh-CN" w:bidi="ar"/>
              </w:rPr>
              <w:t>就数据来看，荆门房地产市场在2014年相应呈现下行局面，</w:t>
            </w:r>
            <w:r>
              <w:rPr>
                <w:rFonts w:hint="eastAsia" w:ascii="宋体" w:hAnsi="宋体" w:eastAsia="宋体" w:cs="宋体"/>
                <w:b/>
                <w:caps w:val="0"/>
                <w:spacing w:val="0"/>
                <w:kern w:val="0"/>
                <w:sz w:val="20"/>
                <w:szCs w:val="20"/>
                <w:lang w:val="en-US" w:eastAsia="zh-CN" w:bidi="ar"/>
              </w:rPr>
              <w:t>但降幅较小，基本上处于平稳状态。</w:t>
            </w:r>
            <w:r>
              <w:rPr>
                <w:rFonts w:hint="eastAsia" w:ascii="宋体" w:hAnsi="宋体" w:eastAsia="宋体" w:cs="宋体"/>
                <w:caps w:val="0"/>
                <w:spacing w:val="0"/>
                <w:kern w:val="0"/>
                <w:sz w:val="20"/>
                <w:szCs w:val="20"/>
                <w:lang w:val="en-US" w:eastAsia="zh-CN" w:bidi="ar"/>
              </w:rPr>
              <w:t>这得益于目前荆门城市化进程速度的加快，使得大量周边县镇百姓转化为稳定的中心城区购房人群；另外，作为四线城市，荆门的住宅价格相对较低，且价位区间相对广阔，能够满足购房者不同需要，</w:t>
            </w:r>
            <w:r>
              <w:rPr>
                <w:rFonts w:hint="eastAsia" w:ascii="宋体" w:hAnsi="宋体" w:eastAsia="宋体" w:cs="宋体"/>
                <w:b/>
                <w:caps w:val="0"/>
                <w:spacing w:val="0"/>
                <w:kern w:val="0"/>
                <w:sz w:val="20"/>
                <w:szCs w:val="20"/>
                <w:lang w:val="en-US" w:eastAsia="zh-CN" w:bidi="ar"/>
              </w:rPr>
              <w:t>因此今年荆门房地产市场能够在下行中保持相对稳定的状态。</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4267200" cy="2895600"/>
                  <wp:effectExtent l="0" t="0" r="0" b="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5"/>
                          <a:stretch>
                            <a:fillRect/>
                          </a:stretch>
                        </pic:blipFill>
                        <pic:spPr>
                          <a:xfrm>
                            <a:off x="0" y="0"/>
                            <a:ext cx="4267200" cy="2895600"/>
                          </a:xfrm>
                          <a:prstGeom prst="rect">
                            <a:avLst/>
                          </a:prstGeom>
                          <a:noFill/>
                          <a:ln w="9525">
                            <a:noFill/>
                          </a:ln>
                        </pic:spPr>
                      </pic:pic>
                    </a:graphicData>
                  </a:graphic>
                </wp:inline>
              </w:drawing>
            </w:r>
          </w:p>
          <w:p>
            <w:pPr>
              <w:pStyle w:val="3"/>
              <w:keepNext w:val="0"/>
              <w:keepLines w:val="0"/>
              <w:widowControl/>
              <w:suppressLineNumbers w:val="0"/>
              <w:bidi w:val="0"/>
              <w:spacing w:line="24" w:lineRule="atLeast"/>
              <w:ind w:right="0"/>
              <w:jc w:val="left"/>
            </w:pPr>
            <w:r>
              <w:rPr>
                <w:caps w:val="0"/>
                <w:spacing w:val="0"/>
              </w:rPr>
              <w:t>     </w:t>
            </w:r>
            <w:bookmarkStart w:id="38" w:name="_Toc408932330"/>
            <w:r>
              <w:rPr>
                <w:rFonts w:hint="eastAsia" w:ascii="宋体" w:hAnsi="宋体" w:eastAsia="宋体" w:cs="宋体"/>
                <w:caps w:val="0"/>
                <w:spacing w:val="0"/>
                <w:sz w:val="20"/>
                <w:szCs w:val="20"/>
              </w:rPr>
              <w:t>四、新增供应楼盘</w:t>
            </w:r>
            <w:bookmarkEnd w:id="38"/>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新增</w:t>
            </w:r>
            <w:r>
              <w:rPr>
                <w:rFonts w:hint="eastAsia" w:ascii="宋体" w:hAnsi="宋体" w:eastAsia="宋体" w:cs="宋体"/>
                <w:caps w:val="0"/>
                <w:spacing w:val="0"/>
                <w:kern w:val="0"/>
                <w:sz w:val="20"/>
                <w:szCs w:val="20"/>
                <w:lang w:val="en-US" w:eastAsia="zh-CN" w:bidi="ar"/>
              </w:rPr>
              <w:t>商品房预售</w:t>
            </w:r>
            <w:r>
              <w:rPr>
                <w:rFonts w:hint="eastAsia" w:ascii="宋体" w:hAnsi="宋体" w:eastAsia="宋体" w:cs="宋体"/>
                <w:b/>
                <w:caps w:val="0"/>
                <w:spacing w:val="0"/>
                <w:kern w:val="0"/>
                <w:sz w:val="20"/>
                <w:szCs w:val="20"/>
                <w:lang w:val="en-US" w:eastAsia="zh-CN" w:bidi="ar"/>
              </w:rPr>
              <w:t>面积</w:t>
            </w:r>
            <w:r>
              <w:rPr>
                <w:rFonts w:hint="eastAsia" w:ascii="宋体" w:hAnsi="宋体" w:eastAsia="宋体" w:cs="宋体"/>
                <w:caps w:val="0"/>
                <w:spacing w:val="0"/>
                <w:kern w:val="0"/>
                <w:sz w:val="20"/>
                <w:szCs w:val="20"/>
                <w:lang w:val="en-US" w:eastAsia="zh-CN" w:bidi="ar"/>
              </w:rPr>
              <w:t>8.4万方，</w:t>
            </w:r>
            <w:r>
              <w:rPr>
                <w:rFonts w:hint="eastAsia" w:ascii="宋体" w:hAnsi="宋体" w:eastAsia="宋体" w:cs="宋体"/>
                <w:b/>
                <w:caps w:val="0"/>
                <w:spacing w:val="0"/>
                <w:kern w:val="0"/>
                <w:sz w:val="20"/>
                <w:szCs w:val="20"/>
                <w:lang w:val="en-US" w:eastAsia="zh-CN" w:bidi="ar"/>
              </w:rPr>
              <w:t>较上月有所增加</w:t>
            </w:r>
            <w:r>
              <w:rPr>
                <w:rFonts w:hint="eastAsia" w:ascii="宋体" w:hAnsi="宋体" w:eastAsia="宋体" w:cs="宋体"/>
                <w:caps w:val="0"/>
                <w:spacing w:val="0"/>
                <w:kern w:val="0"/>
                <w:sz w:val="20"/>
                <w:szCs w:val="20"/>
                <w:lang w:val="en-US" w:eastAsia="zh-CN" w:bidi="ar"/>
              </w:rPr>
              <w:t>，环比增加21%，其中屈家岭新增面积为0.12万方，掇刀区为7.4万方。东宝区0.9万方；从区域上来看，</w:t>
            </w:r>
            <w:r>
              <w:rPr>
                <w:rFonts w:hint="eastAsia" w:ascii="宋体" w:hAnsi="宋体" w:eastAsia="宋体" w:cs="宋体"/>
                <w:b/>
                <w:caps w:val="0"/>
                <w:spacing w:val="0"/>
                <w:kern w:val="0"/>
                <w:sz w:val="20"/>
                <w:szCs w:val="20"/>
                <w:lang w:val="en-US" w:eastAsia="zh-CN" w:bidi="ar"/>
              </w:rPr>
              <w:t>以掇刀区所占楼盘数居多</w:t>
            </w:r>
            <w:r>
              <w:rPr>
                <w:rFonts w:hint="eastAsia" w:ascii="宋体" w:hAnsi="宋体" w:eastAsia="宋体" w:cs="宋体"/>
                <w:caps w:val="0"/>
                <w:spacing w:val="0"/>
                <w:kern w:val="0"/>
                <w:sz w:val="20"/>
                <w:szCs w:val="20"/>
                <w:lang w:val="en-US" w:eastAsia="zh-CN" w:bidi="ar"/>
              </w:rPr>
              <w:t>。从用途上来看，本月多为</w:t>
            </w:r>
            <w:r>
              <w:rPr>
                <w:rFonts w:hint="eastAsia" w:ascii="宋体" w:hAnsi="宋体" w:eastAsia="宋体" w:cs="宋体"/>
                <w:b/>
                <w:caps w:val="0"/>
                <w:spacing w:val="0"/>
                <w:kern w:val="0"/>
                <w:sz w:val="20"/>
                <w:szCs w:val="20"/>
                <w:lang w:val="en-US" w:eastAsia="zh-CN" w:bidi="ar"/>
              </w:rPr>
              <w:t>住宅项目</w:t>
            </w:r>
            <w:r>
              <w:rPr>
                <w:rFonts w:hint="eastAsia" w:ascii="宋体" w:hAnsi="宋体" w:eastAsia="宋体" w:cs="宋体"/>
                <w:caps w:val="0"/>
                <w:spacing w:val="0"/>
                <w:kern w:val="0"/>
                <w:sz w:val="20"/>
                <w:szCs w:val="20"/>
                <w:lang w:val="en-US" w:eastAsia="zh-CN" w:bidi="ar"/>
              </w:rPr>
              <w:t>，除1项商业外其余全为住宅。从供应量上来看，中央华府与凯旋城二期供应量较大，分别为4.18万方与2.72万方。</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3048000"/>
                  <wp:effectExtent l="0" t="0" r="0" b="0"/>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6"/>
                          <a:stretch>
                            <a:fillRect/>
                          </a:stretch>
                        </pic:blipFill>
                        <pic:spPr>
                          <a:xfrm>
                            <a:off x="0" y="0"/>
                            <a:ext cx="5334000" cy="30480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bookmarkStart w:id="39" w:name="_Toc408932331"/>
            <w:r>
              <w:rPr>
                <w:rFonts w:hint="eastAsia" w:ascii="宋体" w:hAnsi="宋体" w:eastAsia="宋体" w:cs="宋体"/>
                <w:caps w:val="0"/>
                <w:spacing w:val="0"/>
                <w:sz w:val="27"/>
                <w:szCs w:val="27"/>
              </w:rPr>
              <w:t>第四部分   </w:t>
            </w:r>
            <w:bookmarkEnd w:id="39"/>
            <w:r>
              <w:rPr>
                <w:rFonts w:hint="eastAsia" w:ascii="宋体" w:hAnsi="宋体" w:eastAsia="宋体" w:cs="宋体"/>
                <w:caps w:val="0"/>
                <w:spacing w:val="0"/>
                <w:sz w:val="27"/>
                <w:szCs w:val="27"/>
              </w:rPr>
              <w:t>热点楼盘动态</w:t>
            </w:r>
          </w:p>
          <w:p>
            <w:pPr>
              <w:pStyle w:val="3"/>
              <w:keepNext w:val="0"/>
              <w:keepLines w:val="0"/>
              <w:widowControl/>
              <w:suppressLineNumbers w:val="0"/>
              <w:spacing w:line="24" w:lineRule="atLeast"/>
              <w:jc w:val="left"/>
            </w:pPr>
            <w:r>
              <w:rPr>
                <w:caps w:val="0"/>
                <w:spacing w:val="0"/>
              </w:rPr>
              <w:t>     </w:t>
            </w:r>
            <w:bookmarkStart w:id="40" w:name="_Toc408932332"/>
            <w:r>
              <w:rPr>
                <w:rFonts w:hint="eastAsia" w:ascii="宋体" w:hAnsi="宋体" w:eastAsia="宋体" w:cs="宋体"/>
                <w:caps w:val="0"/>
                <w:spacing w:val="0"/>
                <w:sz w:val="20"/>
                <w:szCs w:val="20"/>
              </w:rPr>
              <w:t>一、中央华府</w:t>
            </w:r>
            <w:bookmarkEnd w:id="40"/>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drawing>
                <wp:inline distT="0" distB="0" distL="114300" distR="114300">
                  <wp:extent cx="2295525" cy="1924050"/>
                  <wp:effectExtent l="0" t="0" r="5715" b="11430"/>
                  <wp:docPr id="2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9"/>
                          <pic:cNvPicPr>
                            <a:picLocks noChangeAspect="1"/>
                          </pic:cNvPicPr>
                        </pic:nvPicPr>
                        <pic:blipFill>
                          <a:blip r:embed="rId17"/>
                          <a:stretch>
                            <a:fillRect/>
                          </a:stretch>
                        </pic:blipFill>
                        <pic:spPr>
                          <a:xfrm>
                            <a:off x="0" y="0"/>
                            <a:ext cx="2295525" cy="1924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虎牙关大道白石坡；</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湖北宏晨置业有限公司；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总建面25万方，其中商业约2万方，容积率4.7，绿化率40%，共有1600多户，车位配比超1:1。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由10栋31-33层的建筑组成，沿街区域分布有3层的底商；小区引进智能物管及wifi全覆盖新科技以打造信息化社区，并规划有幼儿园。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终身教育区·中心科技城；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欧式风格；</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771900" cy="3209925"/>
                  <wp:effectExtent l="0" t="0" r="7620" b="5715"/>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18"/>
                          <a:stretch>
                            <a:fillRect/>
                          </a:stretch>
                        </pic:blipFill>
                        <pic:spPr>
                          <a:xfrm>
                            <a:off x="0" y="0"/>
                            <a:ext cx="3771900" cy="3209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Aa1户型   三房二厅二卫    114.8-133.6㎡      占比25%；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Aa3户型   三房二厅一卫    98.37-104.14㎡     占比25%；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B1户型    三房二厅二卫    109.86-120.67㎡    占比25%；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B3户型    二房二厅一卫    82.4-89.37㎡       占比25%；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Aa1户型                       Aa3户型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3114675" cy="2667000"/>
                  <wp:effectExtent l="0" t="0" r="9525" b="0"/>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9"/>
                          <a:stretch>
                            <a:fillRect/>
                          </a:stretch>
                        </pic:blipFill>
                        <pic:spPr>
                          <a:xfrm>
                            <a:off x="0" y="0"/>
                            <a:ext cx="3114675" cy="26670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486025" cy="2667000"/>
                  <wp:effectExtent l="0" t="0" r="13335" b="0"/>
                  <wp:docPr id="4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IMG_272"/>
                          <pic:cNvPicPr>
                            <a:picLocks noChangeAspect="1"/>
                          </pic:cNvPicPr>
                        </pic:nvPicPr>
                        <pic:blipFill>
                          <a:blip r:embed="rId20"/>
                          <a:stretch>
                            <a:fillRect/>
                          </a:stretch>
                        </pic:blipFill>
                        <pic:spPr>
                          <a:xfrm>
                            <a:off x="0" y="0"/>
                            <a:ext cx="2486025" cy="2667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B1户型                     B3户型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838450" cy="2933700"/>
                  <wp:effectExtent l="0" t="0" r="11430" b="7620"/>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21"/>
                          <a:stretch>
                            <a:fillRect/>
                          </a:stretch>
                        </pic:blipFill>
                        <pic:spPr>
                          <a:xfrm>
                            <a:off x="0" y="0"/>
                            <a:ext cx="2838450" cy="29337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676525" cy="2933700"/>
                  <wp:effectExtent l="0" t="0" r="5715" b="7620"/>
                  <wp:docPr id="3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IMG_274"/>
                          <pic:cNvPicPr>
                            <a:picLocks noChangeAspect="1"/>
                          </pic:cNvPicPr>
                        </pic:nvPicPr>
                        <pic:blipFill>
                          <a:blip r:embed="rId22"/>
                          <a:stretch>
                            <a:fillRect/>
                          </a:stretch>
                        </pic:blipFill>
                        <pic:spPr>
                          <a:xfrm>
                            <a:off x="0" y="0"/>
                            <a:ext cx="2676525" cy="2933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主推3-5#楼，近500套房源，12月27日开盘，均价为3800元/㎡。认筹享1000抵5000的优惠，交2万元定金抵5万元房款，且有“日进百金”活动。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邻近虎牙关大道，项目昭示性强，其主打“一站式”教育与科技社区；与南京路片区楼盘相比，其周边缺少居住氛围，生活相对不便；与十里牌附近楼盘相比，资源均好性不足。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◇宣传单张：</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343150" cy="2266950"/>
                  <wp:effectExtent l="0" t="0" r="3810" b="381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3"/>
                          <a:stretch>
                            <a:fillRect/>
                          </a:stretch>
                        </pic:blipFill>
                        <pic:spPr>
                          <a:xfrm>
                            <a:off x="0" y="0"/>
                            <a:ext cx="2343150" cy="22669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3152775" cy="2266950"/>
                  <wp:effectExtent l="0" t="0" r="1905" b="3810"/>
                  <wp:docPr id="3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IMG_276"/>
                          <pic:cNvPicPr>
                            <a:picLocks noChangeAspect="1"/>
                          </pic:cNvPicPr>
                        </pic:nvPicPr>
                        <pic:blipFill>
                          <a:blip r:embed="rId24"/>
                          <a:stretch>
                            <a:fillRect/>
                          </a:stretch>
                        </pic:blipFill>
                        <pic:spPr>
                          <a:xfrm>
                            <a:off x="0" y="0"/>
                            <a:ext cx="3152775" cy="2266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◇围墙广告：</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1685925" cy="1333500"/>
                  <wp:effectExtent l="0" t="0" r="5715" b="7620"/>
                  <wp:docPr id="2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277"/>
                          <pic:cNvPicPr>
                            <a:picLocks noChangeAspect="1"/>
                          </pic:cNvPicPr>
                        </pic:nvPicPr>
                        <pic:blipFill>
                          <a:blip r:embed="rId25"/>
                          <a:stretch>
                            <a:fillRect/>
                          </a:stretch>
                        </pic:blipFill>
                        <pic:spPr>
                          <a:xfrm>
                            <a:off x="0" y="0"/>
                            <a:ext cx="1685925" cy="13335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1800225" cy="1333500"/>
                  <wp:effectExtent l="0" t="0" r="13335" b="7620"/>
                  <wp:docPr id="3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IMG_278"/>
                          <pic:cNvPicPr>
                            <a:picLocks noChangeAspect="1"/>
                          </pic:cNvPicPr>
                        </pic:nvPicPr>
                        <pic:blipFill>
                          <a:blip r:embed="rId26"/>
                          <a:stretch>
                            <a:fillRect/>
                          </a:stretch>
                        </pic:blipFill>
                        <pic:spPr>
                          <a:xfrm>
                            <a:off x="0" y="0"/>
                            <a:ext cx="1800225" cy="13335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1657350" cy="1333500"/>
                  <wp:effectExtent l="0" t="0" r="3810" b="7620"/>
                  <wp:docPr id="3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IMG_279"/>
                          <pic:cNvPicPr>
                            <a:picLocks noChangeAspect="1"/>
                          </pic:cNvPicPr>
                        </pic:nvPicPr>
                        <pic:blipFill>
                          <a:blip r:embed="rId27"/>
                          <a:stretch>
                            <a:fillRect/>
                          </a:stretch>
                        </pic:blipFill>
                        <pic:spPr>
                          <a:xfrm>
                            <a:off x="0" y="0"/>
                            <a:ext cx="1657350" cy="133350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caps w:val="0"/>
                <w:spacing w:val="0"/>
              </w:rPr>
              <w:t>    </w:t>
            </w:r>
            <w:bookmarkStart w:id="41" w:name="_Toc408932333"/>
            <w:r>
              <w:rPr>
                <w:rFonts w:hint="eastAsia" w:ascii="宋体" w:hAnsi="宋体" w:eastAsia="宋体" w:cs="宋体"/>
                <w:caps w:val="0"/>
                <w:spacing w:val="0"/>
                <w:sz w:val="20"/>
                <w:szCs w:val="20"/>
              </w:rPr>
              <w:t>二、宏阳阿卡迪亚</w:t>
            </w:r>
            <w:bookmarkEnd w:id="41"/>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位于龙井大道与培公大道交汇处（半山豪苑斜对面）；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湖北鼎尊房地产开发有限公司；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总占面3.5万方，总建面9万方，绿化率30%，容积率2.6。其中商业建面1.1万方，住宅总建面6.4万方，总户数630户，车位配比近1:1。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由5栋高层建筑围合而成，其中A、B、C、D栋为31层的高层，E栋为30层的高层，且其规划有8000㎡中心花园。其中D、E栋规划为襄荆高速员工住房，其余为商品房。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十里牌·山林居·中心城；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地中海风格；</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2762250"/>
                  <wp:effectExtent l="0" t="0" r="0" b="11430"/>
                  <wp:docPr id="4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descr="IMG_280"/>
                          <pic:cNvPicPr>
                            <a:picLocks noChangeAspect="1"/>
                          </pic:cNvPicPr>
                        </pic:nvPicPr>
                        <pic:blipFill>
                          <a:blip r:embed="rId28"/>
                          <a:stretch>
                            <a:fillRect/>
                          </a:stretch>
                        </pic:blipFill>
                        <pic:spPr>
                          <a:xfrm>
                            <a:off x="0" y="0"/>
                            <a:ext cx="4800600" cy="2762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◇主力户型：</w:t>
            </w:r>
            <w:r>
              <w:rPr>
                <w:rFonts w:hint="eastAsia" w:ascii="宋体" w:hAnsi="宋体" w:eastAsia="宋体" w:cs="宋体"/>
                <w:caps w:val="0"/>
                <w:spacing w:val="0"/>
                <w:kern w:val="0"/>
                <w:sz w:val="20"/>
                <w:szCs w:val="20"/>
                <w:lang w:val="en-US" w:eastAsia="zh-CN" w:bidi="ar"/>
              </w:rPr>
              <w:t>共4种户型；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A  2×2×1  82㎡   占比17%    B  2×2×1  92㎡   占比33%</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C  3×2×1  108㎡  占比25%    D  3×2×2  118㎡  占比25%</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A户型                   B户型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352675" cy="2266950"/>
                  <wp:effectExtent l="0" t="0" r="9525" b="3810"/>
                  <wp:docPr id="3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IMG_281"/>
                          <pic:cNvPicPr>
                            <a:picLocks noChangeAspect="1"/>
                          </pic:cNvPicPr>
                        </pic:nvPicPr>
                        <pic:blipFill>
                          <a:blip r:embed="rId29"/>
                          <a:stretch>
                            <a:fillRect/>
                          </a:stretch>
                        </pic:blipFill>
                        <pic:spPr>
                          <a:xfrm>
                            <a:off x="0" y="0"/>
                            <a:ext cx="2352675" cy="22669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076450" cy="2266950"/>
                  <wp:effectExtent l="0" t="0" r="11430" b="3810"/>
                  <wp:docPr id="4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IMG_282"/>
                          <pic:cNvPicPr>
                            <a:picLocks noChangeAspect="1"/>
                          </pic:cNvPicPr>
                        </pic:nvPicPr>
                        <pic:blipFill>
                          <a:blip r:embed="rId30"/>
                          <a:stretch>
                            <a:fillRect/>
                          </a:stretch>
                        </pic:blipFill>
                        <pic:spPr>
                          <a:xfrm>
                            <a:off x="0" y="0"/>
                            <a:ext cx="2076450" cy="2266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C户型                   D户型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219325" cy="2266950"/>
                  <wp:effectExtent l="0" t="0" r="5715" b="3810"/>
                  <wp:docPr id="2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83"/>
                          <pic:cNvPicPr>
                            <a:picLocks noChangeAspect="1"/>
                          </pic:cNvPicPr>
                        </pic:nvPicPr>
                        <pic:blipFill>
                          <a:blip r:embed="rId31"/>
                          <a:stretch>
                            <a:fillRect/>
                          </a:stretch>
                        </pic:blipFill>
                        <pic:spPr>
                          <a:xfrm>
                            <a:off x="0" y="0"/>
                            <a:ext cx="2219325" cy="22669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257425" cy="2266950"/>
                  <wp:effectExtent l="0" t="0" r="13335" b="3810"/>
                  <wp:docPr id="3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84"/>
                          <pic:cNvPicPr>
                            <a:picLocks noChangeAspect="1"/>
                          </pic:cNvPicPr>
                        </pic:nvPicPr>
                        <pic:blipFill>
                          <a:blip r:embed="rId32"/>
                          <a:stretch>
                            <a:fillRect/>
                          </a:stretch>
                        </pic:blipFill>
                        <pic:spPr>
                          <a:xfrm>
                            <a:off x="0" y="0"/>
                            <a:ext cx="2257425" cy="2266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已开启内部认筹，五千抵一万，认筹客户可参与抽奖活动，1等奖3088元/㎡房源任意选，2等奖总房款减2万，3等奖总房款减5888元。预计2015年元月开盘，均价3888元/㎡。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地段配套齐全，与十里牌小学相距较近；配有8000㎡的中心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花园，提升居住舒适度。</w:t>
            </w:r>
          </w:p>
          <w:p>
            <w:pPr>
              <w:pStyle w:val="3"/>
              <w:keepNext w:val="0"/>
              <w:keepLines w:val="0"/>
              <w:widowControl/>
              <w:suppressLineNumbers w:val="0"/>
              <w:spacing w:line="24" w:lineRule="atLeast"/>
              <w:jc w:val="left"/>
            </w:pPr>
            <w:r>
              <w:rPr>
                <w:caps w:val="0"/>
                <w:spacing w:val="0"/>
              </w:rPr>
              <w:t>    </w:t>
            </w:r>
            <w:bookmarkStart w:id="42" w:name="_Toc408932334"/>
            <w:r>
              <w:rPr>
                <w:rFonts w:hint="eastAsia" w:ascii="宋体" w:hAnsi="宋体" w:eastAsia="宋体" w:cs="宋体"/>
                <w:caps w:val="0"/>
                <w:spacing w:val="0"/>
                <w:sz w:val="20"/>
                <w:szCs w:val="20"/>
              </w:rPr>
              <w:t>三、长龙·中央公园3期</w:t>
            </w:r>
            <w:bookmarkEnd w:id="4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掇刀区荆门市虎牙关大道2号(山水龙城东侧)；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湖北长龙地产有限公司；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城中央纯熟大公园社区·可持续生活蓝本；</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总占面10万方，总建面22万方，容积率2.0，绿化率30.1%，建筑密度25.6%。</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项目分四期开发，由梅、兰、竹、菊四个组团共38栋多层、小高、花园洋房、别墅组成。三期为7栋高层住宅。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现代简约风格；</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791075" cy="3171825"/>
                  <wp:effectExtent l="0" t="0" r="9525" b="13335"/>
                  <wp:docPr id="4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85"/>
                          <pic:cNvPicPr>
                            <a:picLocks noChangeAspect="1"/>
                          </pic:cNvPicPr>
                        </pic:nvPicPr>
                        <pic:blipFill>
                          <a:blip r:embed="rId33"/>
                          <a:stretch>
                            <a:fillRect/>
                          </a:stretch>
                        </pic:blipFill>
                        <pic:spPr>
                          <a:xfrm>
                            <a:off x="0" y="0"/>
                            <a:ext cx="4791075" cy="31718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◇户型面积： </w:t>
            </w:r>
            <w:r>
              <w:rPr>
                <w:rFonts w:hint="eastAsia" w:ascii="宋体" w:hAnsi="宋体" w:eastAsia="宋体" w:cs="宋体"/>
                <w:caps w:val="0"/>
                <w:spacing w:val="0"/>
                <w:kern w:val="0"/>
                <w:sz w:val="20"/>
                <w:szCs w:val="20"/>
                <w:lang w:val="en-US" w:eastAsia="zh-CN" w:bidi="ar"/>
              </w:rPr>
              <w:t>（三期58-117㎡房源）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A1     1×2×1    58㎡;            A3    2×2×1     88.40-94.79㎡;</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A4     3×2×1   96.86-98.96㎡;    D1    3×2×2     110.63-113.09㎡;</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D2     3×2×2   117.38㎡;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A3户型                          A4户型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343150" cy="2133600"/>
                  <wp:effectExtent l="0" t="0" r="3810" b="0"/>
                  <wp:docPr id="4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IMG_286"/>
                          <pic:cNvPicPr>
                            <a:picLocks noChangeAspect="1"/>
                          </pic:cNvPicPr>
                        </pic:nvPicPr>
                        <pic:blipFill>
                          <a:blip r:embed="rId34"/>
                          <a:stretch>
                            <a:fillRect/>
                          </a:stretch>
                        </pic:blipFill>
                        <pic:spPr>
                          <a:xfrm>
                            <a:off x="0" y="0"/>
                            <a:ext cx="2343150" cy="21336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247900" cy="2133600"/>
                  <wp:effectExtent l="0" t="0" r="7620" b="0"/>
                  <wp:docPr id="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87"/>
                          <pic:cNvPicPr>
                            <a:picLocks noChangeAspect="1"/>
                          </pic:cNvPicPr>
                        </pic:nvPicPr>
                        <pic:blipFill>
                          <a:blip r:embed="rId35"/>
                          <a:stretch>
                            <a:fillRect/>
                          </a:stretch>
                        </pic:blipFill>
                        <pic:spPr>
                          <a:xfrm>
                            <a:off x="0" y="0"/>
                            <a:ext cx="2247900" cy="213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D1户型                 D2户型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1800225" cy="2133600"/>
                  <wp:effectExtent l="0" t="0" r="13335" b="0"/>
                  <wp:docPr id="4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IMG_288"/>
                          <pic:cNvPicPr>
                            <a:picLocks noChangeAspect="1"/>
                          </pic:cNvPicPr>
                        </pic:nvPicPr>
                        <pic:blipFill>
                          <a:blip r:embed="rId36"/>
                          <a:stretch>
                            <a:fillRect/>
                          </a:stretch>
                        </pic:blipFill>
                        <pic:spPr>
                          <a:xfrm>
                            <a:off x="0" y="0"/>
                            <a:ext cx="1800225" cy="21336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105025" cy="2133600"/>
                  <wp:effectExtent l="0" t="0" r="13335" b="0"/>
                  <wp:docPr id="3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IMG_289"/>
                          <pic:cNvPicPr>
                            <a:picLocks noChangeAspect="1"/>
                          </pic:cNvPicPr>
                        </pic:nvPicPr>
                        <pic:blipFill>
                          <a:blip r:embed="rId37"/>
                          <a:stretch>
                            <a:fillRect/>
                          </a:stretch>
                        </pic:blipFill>
                        <pic:spPr>
                          <a:xfrm>
                            <a:off x="0" y="0"/>
                            <a:ext cx="2105025" cy="213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三期2、5#楼高层，于11月16日开盘，共计333套房源，目前剩余房源82套。其均价为4100元/㎡左右。2#楼、5#楼已建到18层。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经过一、二期的经营，其已成为比较成熟的社区；地理位置上处于新城与老城的中间地带，资源均好性强。但是小区旁边即为看管所，比较影响小区的形象。</w:t>
            </w:r>
          </w:p>
          <w:p>
            <w:pPr>
              <w:pStyle w:val="3"/>
              <w:keepNext w:val="0"/>
              <w:keepLines w:val="0"/>
              <w:widowControl/>
              <w:suppressLineNumbers w:val="0"/>
              <w:spacing w:line="24" w:lineRule="atLeast"/>
              <w:jc w:val="left"/>
            </w:pPr>
            <w:bookmarkStart w:id="43" w:name="_Toc408932335"/>
            <w:bookmarkEnd w:id="43"/>
            <w:r>
              <w:rPr>
                <w:caps w:val="0"/>
                <w:spacing w:val="0"/>
              </w:rPr>
              <w:t>    </w:t>
            </w:r>
            <w:bookmarkStart w:id="44" w:name="_Toc403334991"/>
            <w:r>
              <w:rPr>
                <w:rFonts w:hint="eastAsia" w:ascii="宋体" w:hAnsi="宋体" w:eastAsia="宋体" w:cs="宋体"/>
                <w:caps w:val="0"/>
                <w:spacing w:val="0"/>
                <w:sz w:val="20"/>
                <w:szCs w:val="20"/>
              </w:rPr>
              <w:t>四、飞扬新天城</w:t>
            </w:r>
            <w:bookmarkEnd w:id="44"/>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掇刀虎牙关大道西侧（文体中心对面）；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湖北飞扬房地产开发有限公司；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总建面11.8万方，建筑规模约38万㎡，其中住宅约26万方，商业约7万方，容积率2.2，绿化率35%。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规划有电梯多层花园洋房、小高层、高层、酒店公寓、写字楼等多种物业形态；户型从一室到四室，面积从40㎡至210㎡，更有荆门独一无二的近百米高度的空中别墅。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智慧荆门先行区；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E  3×2×2  138㎡      H  3×2×2  123㎡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G  3×2×2  131㎡      F  3×2×4  208㎡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D  4×2×2  147㎡      C  4×2×2  150㎡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一期C区12月31日交房，一期剩余房源清盘特惠总价减5万，交房期间单价直降150—300元/㎡，2期B区房源加推，定房2万抵5万、首付一成起、老客户介绍新客户成交享现金、车位代金券。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城南新区与老城结合的黄金位置、数字化小区、配有7万方商业、拥有三大景观组团，项目地段优越，自身配套条件出众，优势明显。</w:t>
            </w:r>
          </w:p>
          <w:p>
            <w:pPr>
              <w:pStyle w:val="3"/>
              <w:keepNext w:val="0"/>
              <w:keepLines w:val="0"/>
              <w:widowControl/>
              <w:suppressLineNumbers w:val="0"/>
              <w:spacing w:line="24" w:lineRule="atLeast"/>
              <w:jc w:val="left"/>
            </w:pPr>
            <w:r>
              <w:rPr>
                <w:caps w:val="0"/>
                <w:spacing w:val="0"/>
              </w:rPr>
              <w:t>    </w:t>
            </w:r>
            <w:bookmarkStart w:id="45" w:name="_Toc408932336"/>
            <w:r>
              <w:rPr>
                <w:rFonts w:hint="eastAsia" w:ascii="宋体" w:hAnsi="宋体" w:eastAsia="宋体" w:cs="宋体"/>
                <w:caps w:val="0"/>
                <w:spacing w:val="0"/>
                <w:sz w:val="20"/>
                <w:szCs w:val="20"/>
              </w:rPr>
              <w:t>五、柏林苑</w:t>
            </w:r>
            <w:bookmarkEnd w:id="45"/>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drawing>
                <wp:inline distT="0" distB="0" distL="114300" distR="114300">
                  <wp:extent cx="3238500" cy="2200275"/>
                  <wp:effectExtent l="0" t="0" r="7620" b="9525"/>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38"/>
                          <a:stretch>
                            <a:fillRect/>
                          </a:stretch>
                        </pic:blipFill>
                        <pic:spPr>
                          <a:xfrm>
                            <a:off x="0" y="0"/>
                            <a:ext cx="3238500" cy="2200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掇刀区南京路和地税路的交汇处；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 </w:t>
            </w:r>
            <w:r>
              <w:rPr>
                <w:rFonts w:hint="eastAsia" w:ascii="宋体" w:hAnsi="宋体" w:eastAsia="宋体" w:cs="宋体"/>
                <w:caps w:val="0"/>
                <w:spacing w:val="0"/>
                <w:kern w:val="0"/>
                <w:sz w:val="20"/>
                <w:szCs w:val="20"/>
                <w:lang w:val="en-US" w:eastAsia="zh-CN" w:bidi="ar"/>
              </w:rPr>
              <w:t>荆门市华洲园房地产开发有限公司；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总占面1.9万方，总建面8万方，共550户，562个停车位（地上123个，地下439个），车位配比大于1:1。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由3栋高层组成，其中1-2#楼为26层，3#楼为27层，拥有 6200㎡的商业步行街。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大城名门·榜样人生；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现代简约；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◇楼盘户型：</w:t>
            </w:r>
            <w:r>
              <w:rPr>
                <w:rFonts w:hint="eastAsia" w:ascii="宋体" w:hAnsi="宋体" w:eastAsia="宋体" w:cs="宋体"/>
                <w:caps w:val="0"/>
                <w:spacing w:val="0"/>
                <w:kern w:val="0"/>
                <w:sz w:val="20"/>
                <w:szCs w:val="20"/>
                <w:lang w:val="en-US" w:eastAsia="zh-CN" w:bidi="ar"/>
              </w:rPr>
              <w:t>共8种户型；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A户型  3×2×2  120.30㎡           B户型   2×2×1  84.76㎡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C户型  3×2×1 109.72              D户型  2×2×1  82.42㎡                                 E户型  3×2×1  110.87㎡           F户型   2×2×1  97.39㎡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G户型  3×2×1  102㎡              H户型   2×2×1  96.68㎡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A户型                       B户型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371725" cy="2533650"/>
                  <wp:effectExtent l="0" t="0" r="5715" b="11430"/>
                  <wp:docPr id="2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IMG_291"/>
                          <pic:cNvPicPr>
                            <a:picLocks noChangeAspect="1"/>
                          </pic:cNvPicPr>
                        </pic:nvPicPr>
                        <pic:blipFill>
                          <a:blip r:embed="rId39"/>
                          <a:stretch>
                            <a:fillRect/>
                          </a:stretch>
                        </pic:blipFill>
                        <pic:spPr>
                          <a:xfrm>
                            <a:off x="0" y="0"/>
                            <a:ext cx="2371725" cy="25336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2533650" cy="2533650"/>
                  <wp:effectExtent l="0" t="0" r="11430" b="11430"/>
                  <wp:docPr id="3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92"/>
                          <pic:cNvPicPr>
                            <a:picLocks noChangeAspect="1"/>
                          </pic:cNvPicPr>
                        </pic:nvPicPr>
                        <pic:blipFill>
                          <a:blip r:embed="rId40"/>
                          <a:stretch>
                            <a:fillRect/>
                          </a:stretch>
                        </pic:blipFill>
                        <pic:spPr>
                          <a:xfrm>
                            <a:off x="0" y="0"/>
                            <a:ext cx="2533650" cy="2533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C户型                   D户型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2438400" cy="2533650"/>
                  <wp:effectExtent l="0" t="0" r="0" b="11430"/>
                  <wp:docPr id="3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IMG_293"/>
                          <pic:cNvPicPr>
                            <a:picLocks noChangeAspect="1"/>
                          </pic:cNvPicPr>
                        </pic:nvPicPr>
                        <pic:blipFill>
                          <a:blip r:embed="rId41"/>
                          <a:stretch>
                            <a:fillRect/>
                          </a:stretch>
                        </pic:blipFill>
                        <pic:spPr>
                          <a:xfrm>
                            <a:off x="0" y="0"/>
                            <a:ext cx="2438400" cy="25336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305050" cy="2533650"/>
                  <wp:effectExtent l="0" t="0" r="11430" b="11430"/>
                  <wp:docPr id="1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IMG_294"/>
                          <pic:cNvPicPr>
                            <a:picLocks noChangeAspect="1"/>
                          </pic:cNvPicPr>
                        </pic:nvPicPr>
                        <pic:blipFill>
                          <a:blip r:embed="rId42"/>
                          <a:stretch>
                            <a:fillRect/>
                          </a:stretch>
                        </pic:blipFill>
                        <pic:spPr>
                          <a:xfrm>
                            <a:off x="0" y="0"/>
                            <a:ext cx="2305050" cy="2533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2、3#楼即将认筹，推出房源200多套，预计均价3700元/㎡左右。近期在举办圣诞节“快闪”活动。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处在汉正街未来新城区，距万达和生态公园均较近，地段成熟，居住氛围浓厚，但未临主干道致使项目昭示性不强。</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543175" cy="800100"/>
                  <wp:effectExtent l="0" t="0" r="1905" b="7620"/>
                  <wp:docPr id="3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IMG_295"/>
                          <pic:cNvPicPr>
                            <a:picLocks noChangeAspect="1"/>
                          </pic:cNvPicPr>
                        </pic:nvPicPr>
                        <pic:blipFill>
                          <a:blip r:embed="rId43"/>
                          <a:stretch>
                            <a:fillRect/>
                          </a:stretch>
                        </pic:blipFill>
                        <pic:spPr>
                          <a:xfrm>
                            <a:off x="0" y="0"/>
                            <a:ext cx="2543175" cy="8001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2200275" cy="800100"/>
                  <wp:effectExtent l="0" t="0" r="9525" b="7620"/>
                  <wp:docPr id="1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descr="IMG_296"/>
                          <pic:cNvPicPr>
                            <a:picLocks noChangeAspect="1"/>
                          </pic:cNvPicPr>
                        </pic:nvPicPr>
                        <pic:blipFill>
                          <a:blip r:embed="rId44"/>
                          <a:stretch>
                            <a:fillRect/>
                          </a:stretch>
                        </pic:blipFill>
                        <pic:spPr>
                          <a:xfrm>
                            <a:off x="0" y="0"/>
                            <a:ext cx="2200275" cy="800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447925" cy="1466850"/>
                  <wp:effectExtent l="0" t="0" r="5715" b="11430"/>
                  <wp:docPr id="2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IMG_297"/>
                          <pic:cNvPicPr>
                            <a:picLocks noChangeAspect="1"/>
                          </pic:cNvPicPr>
                        </pic:nvPicPr>
                        <pic:blipFill>
                          <a:blip r:embed="rId45"/>
                          <a:stretch>
                            <a:fillRect/>
                          </a:stretch>
                        </pic:blipFill>
                        <pic:spPr>
                          <a:xfrm>
                            <a:off x="0" y="0"/>
                            <a:ext cx="2447925" cy="14668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2409825" cy="1466850"/>
                  <wp:effectExtent l="0" t="0" r="13335" b="11430"/>
                  <wp:docPr id="2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descr="IMG_298"/>
                          <pic:cNvPicPr>
                            <a:picLocks noChangeAspect="1"/>
                          </pic:cNvPicPr>
                        </pic:nvPicPr>
                        <pic:blipFill>
                          <a:blip r:embed="rId46"/>
                          <a:stretch>
                            <a:fillRect/>
                          </a:stretch>
                        </pic:blipFill>
                        <pic:spPr>
                          <a:xfrm>
                            <a:off x="0" y="0"/>
                            <a:ext cx="2409825" cy="14668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caps w:val="0"/>
                <w:spacing w:val="0"/>
              </w:rPr>
              <w:t>     </w:t>
            </w:r>
            <w:bookmarkStart w:id="46" w:name="_Toc408932337"/>
            <w:r>
              <w:rPr>
                <w:rFonts w:hint="eastAsia" w:ascii="宋体" w:hAnsi="宋体" w:eastAsia="宋体" w:cs="宋体"/>
                <w:caps w:val="0"/>
                <w:spacing w:val="0"/>
                <w:sz w:val="20"/>
                <w:szCs w:val="20"/>
              </w:rPr>
              <w:t>六、御景尚城</w:t>
            </w:r>
            <w:bookmarkEnd w:id="46"/>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drawing>
                <wp:inline distT="0" distB="0" distL="114300" distR="114300">
                  <wp:extent cx="3752850" cy="1476375"/>
                  <wp:effectExtent l="0" t="0" r="11430" b="1905"/>
                  <wp:docPr id="1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 descr="IMG_299"/>
                          <pic:cNvPicPr>
                            <a:picLocks noChangeAspect="1"/>
                          </pic:cNvPicPr>
                        </pic:nvPicPr>
                        <pic:blipFill>
                          <a:blip r:embed="rId47"/>
                          <a:stretch>
                            <a:fillRect/>
                          </a:stretch>
                        </pic:blipFill>
                        <pic:spPr>
                          <a:xfrm>
                            <a:off x="0" y="0"/>
                            <a:ext cx="3752850" cy="1476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虎牙关大道十里牌林场（城市春天旁）；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荆门市慧泉房地产开发有限公司；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总占面2.2万方，总建面4.3万方，绿化率30%，容积率1.59，得房率93%。</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由6栋楼梯房与3栋小高层组成的纯住宅小区。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城中·山下·人文家；</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共3种户型；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  2×2×1  84㎡    B  3×2×1  104㎡   C  3×2×2  118㎡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A户型                 B户型                     C户型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1323975" cy="2400300"/>
                  <wp:effectExtent l="0" t="0" r="1905" b="7620"/>
                  <wp:docPr id="4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descr="IMG_300"/>
                          <pic:cNvPicPr>
                            <a:picLocks noChangeAspect="1"/>
                          </pic:cNvPicPr>
                        </pic:nvPicPr>
                        <pic:blipFill>
                          <a:blip r:embed="rId48"/>
                          <a:stretch>
                            <a:fillRect/>
                          </a:stretch>
                        </pic:blipFill>
                        <pic:spPr>
                          <a:xfrm>
                            <a:off x="0" y="0"/>
                            <a:ext cx="1323975" cy="24003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076450" cy="2400300"/>
                  <wp:effectExtent l="0" t="0" r="11430" b="7620"/>
                  <wp:docPr id="1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descr="IMG_301"/>
                          <pic:cNvPicPr>
                            <a:picLocks noChangeAspect="1"/>
                          </pic:cNvPicPr>
                        </pic:nvPicPr>
                        <pic:blipFill>
                          <a:blip r:embed="rId49"/>
                          <a:stretch>
                            <a:fillRect/>
                          </a:stretch>
                        </pic:blipFill>
                        <pic:spPr>
                          <a:xfrm>
                            <a:off x="0" y="0"/>
                            <a:ext cx="2076450" cy="24003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057400" cy="2400300"/>
                  <wp:effectExtent l="0" t="0" r="0" b="7620"/>
                  <wp:docPr id="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IMG_302"/>
                          <pic:cNvPicPr>
                            <a:picLocks noChangeAspect="1"/>
                          </pic:cNvPicPr>
                        </pic:nvPicPr>
                        <pic:blipFill>
                          <a:blip r:embed="rId50"/>
                          <a:stretch>
                            <a:fillRect/>
                          </a:stretch>
                        </pic:blipFill>
                        <pic:spPr>
                          <a:xfrm>
                            <a:off x="0" y="0"/>
                            <a:ext cx="2057400" cy="2400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◇项目动态： 1月5日清水样板间对外开放，1月10日认筹，预计1月底开盘。认筹5000抵10000元，销售价格3598元/㎡起，本次推盘2#、7#、8#楼共计72套房源。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◇项目点评：位于十里牌林场，是城南中心地带，周边配套成熟；紧靠千佛岛森林公园，居住环境宜人；十里牌小学与项目相距较近，人文气息浓厚。</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七、象山新城</w:t>
            </w:r>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drawing>
                <wp:inline distT="0" distB="0" distL="114300" distR="114300">
                  <wp:extent cx="3095625" cy="2019300"/>
                  <wp:effectExtent l="0" t="0" r="13335" b="7620"/>
                  <wp:docPr id="5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descr="IMG_303"/>
                          <pic:cNvPicPr>
                            <a:picLocks noChangeAspect="1"/>
                          </pic:cNvPicPr>
                        </pic:nvPicPr>
                        <pic:blipFill>
                          <a:blip r:embed="rId51"/>
                          <a:stretch>
                            <a:fillRect/>
                          </a:stretch>
                        </pic:blipFill>
                        <pic:spPr>
                          <a:xfrm>
                            <a:off x="0" y="0"/>
                            <a:ext cx="3095625" cy="2019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◇地理位置</w:t>
            </w:r>
            <w:r>
              <w:rPr>
                <w:rFonts w:hint="eastAsia" w:ascii="宋体" w:hAnsi="宋体" w:eastAsia="宋体" w:cs="宋体"/>
                <w:caps w:val="0"/>
                <w:spacing w:val="0"/>
                <w:kern w:val="0"/>
                <w:sz w:val="20"/>
                <w:szCs w:val="20"/>
                <w:lang w:val="en-US" w:eastAsia="zh-CN" w:bidi="ar"/>
              </w:rPr>
              <w:t>：象山大道南端惠民水果批发市场对面；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◇开 发 商</w:t>
            </w:r>
            <w:r>
              <w:rPr>
                <w:rFonts w:hint="eastAsia" w:ascii="宋体" w:hAnsi="宋体" w:eastAsia="宋体" w:cs="宋体"/>
                <w:caps w:val="0"/>
                <w:spacing w:val="0"/>
                <w:kern w:val="0"/>
                <w:sz w:val="20"/>
                <w:szCs w:val="20"/>
                <w:lang w:val="en-US" w:eastAsia="zh-CN" w:bidi="ar"/>
              </w:rPr>
              <w:t>：湖北荆牛房地产开发有限公司；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：总占面7.4万方，总建面35万方，绿化率26%，容积率4.7，可容纳1110户，设有1874个停车位。其中商业建面24万方，住宅总建面11万方。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◇规划要点</w:t>
            </w:r>
            <w:r>
              <w:rPr>
                <w:rFonts w:hint="eastAsia" w:ascii="宋体" w:hAnsi="宋体" w:eastAsia="宋体" w:cs="宋体"/>
                <w:caps w:val="0"/>
                <w:spacing w:val="0"/>
                <w:kern w:val="0"/>
                <w:sz w:val="20"/>
                <w:szCs w:val="20"/>
                <w:lang w:val="en-US" w:eastAsia="zh-CN" w:bidi="ar"/>
              </w:rPr>
              <w:t>：项目分二期开发，一期为1栋酒店、3栋31层住宅及4层底商，二期为6栋29层住宅楼与7层底商。</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：35万方楚文化城市综合体；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：共3种户型；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D1户型   3×2×1   103.93㎡   占比25%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D2户型   3×2×2   112.12㎡   占比25%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D3户型   2×2×1   93.25㎡    占比50%</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D1户型                      D2户型                D3户型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1524000" cy="1600200"/>
                  <wp:effectExtent l="0" t="0" r="0" b="0"/>
                  <wp:docPr id="6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descr="IMG_304"/>
                          <pic:cNvPicPr>
                            <a:picLocks noChangeAspect="1"/>
                          </pic:cNvPicPr>
                        </pic:nvPicPr>
                        <pic:blipFill>
                          <a:blip r:embed="rId52"/>
                          <a:stretch>
                            <a:fillRect/>
                          </a:stretch>
                        </pic:blipFill>
                        <pic:spPr>
                          <a:xfrm>
                            <a:off x="0" y="0"/>
                            <a:ext cx="1524000"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714500" cy="1600200"/>
                  <wp:effectExtent l="0" t="0" r="7620" b="0"/>
                  <wp:docPr id="5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descr="IMG_305"/>
                          <pic:cNvPicPr>
                            <a:picLocks noChangeAspect="1"/>
                          </pic:cNvPicPr>
                        </pic:nvPicPr>
                        <pic:blipFill>
                          <a:blip r:embed="rId53"/>
                          <a:stretch>
                            <a:fillRect/>
                          </a:stretch>
                        </pic:blipFill>
                        <pic:spPr>
                          <a:xfrm>
                            <a:off x="0" y="0"/>
                            <a:ext cx="1714500"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38300" cy="1600200"/>
                  <wp:effectExtent l="0" t="0" r="7620" b="0"/>
                  <wp:docPr id="5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306"/>
                          <pic:cNvPicPr>
                            <a:picLocks noChangeAspect="1"/>
                          </pic:cNvPicPr>
                        </pic:nvPicPr>
                        <pic:blipFill>
                          <a:blip r:embed="rId54"/>
                          <a:stretch>
                            <a:fillRect/>
                          </a:stretch>
                        </pic:blipFill>
                        <pic:spPr>
                          <a:xfrm>
                            <a:off x="0" y="0"/>
                            <a:ext cx="16383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11月28日开盘，一期全部推出，有370多套住宅商品房，去化33%，均价4500元/㎡；商业现招商中，业态以餐饮娱乐为主，均价12000-23000元/㎡。二期预计2015年底推出。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位于主干道交通便捷，为漳河、东宝及掇刀三区过渡的黄金地带，市委市政府将搬迁于此，未来区域规划向好。但目前周边配套还不成熟，此外售楼部采用古色古调的装饰，与项目形象不符，也不利于销售。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◇售楼部及围墙广告图片：</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800600" cy="2324100"/>
                  <wp:effectExtent l="0" t="0" r="0" b="7620"/>
                  <wp:docPr id="5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descr="IMG_307"/>
                          <pic:cNvPicPr>
                            <a:picLocks noChangeAspect="1"/>
                          </pic:cNvPicPr>
                        </pic:nvPicPr>
                        <pic:blipFill>
                          <a:blip r:embed="rId55"/>
                          <a:stretch>
                            <a:fillRect/>
                          </a:stretch>
                        </pic:blipFill>
                        <pic:spPr>
                          <a:xfrm>
                            <a:off x="0" y="0"/>
                            <a:ext cx="4800600" cy="2324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800600" cy="1114425"/>
                  <wp:effectExtent l="0" t="0" r="0" b="13335"/>
                  <wp:docPr id="6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descr="IMG_308"/>
                          <pic:cNvPicPr>
                            <a:picLocks noChangeAspect="1"/>
                          </pic:cNvPicPr>
                        </pic:nvPicPr>
                        <pic:blipFill>
                          <a:blip r:embed="rId56"/>
                          <a:stretch>
                            <a:fillRect/>
                          </a:stretch>
                        </pic:blipFill>
                        <pic:spPr>
                          <a:xfrm>
                            <a:off x="0" y="0"/>
                            <a:ext cx="4800600" cy="1114425"/>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jc w:val="left"/>
            </w:pPr>
            <w:r>
              <w:rPr>
                <w:caps w:val="0"/>
                <w:spacing w:val="0"/>
              </w:rPr>
              <w:t>     </w:t>
            </w:r>
            <w:bookmarkStart w:id="47" w:name="_Toc408932339"/>
            <w:r>
              <w:rPr>
                <w:rFonts w:hint="eastAsia" w:ascii="宋体" w:hAnsi="宋体" w:eastAsia="宋体" w:cs="宋体"/>
                <w:caps w:val="0"/>
                <w:spacing w:val="0"/>
                <w:sz w:val="20"/>
                <w:szCs w:val="20"/>
              </w:rPr>
              <w:t>八、一马光彩大市场</w:t>
            </w:r>
            <w:bookmarkEnd w:id="47"/>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drawing>
                <wp:inline distT="0" distB="0" distL="114300" distR="114300">
                  <wp:extent cx="3181350" cy="2124075"/>
                  <wp:effectExtent l="0" t="0" r="3810" b="9525"/>
                  <wp:docPr id="4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4" descr="IMG_309"/>
                          <pic:cNvPicPr>
                            <a:picLocks noChangeAspect="1"/>
                          </pic:cNvPicPr>
                        </pic:nvPicPr>
                        <pic:blipFill>
                          <a:blip r:embed="rId57"/>
                          <a:stretch>
                            <a:fillRect/>
                          </a:stretch>
                        </pic:blipFill>
                        <pic:spPr>
                          <a:xfrm>
                            <a:off x="0" y="0"/>
                            <a:ext cx="3181350" cy="21240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荆门东宝路1号（原杨家桥大市场）；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荆门东盟投资有限公司；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总占面24万方，总建面30万方。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分两期开发，一期为五金机电、板材、物流及还建房，二期为家居用品、卫浴、电商城及酒店。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杨家桥·荆门首席品牌建材家居总部基地；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◇在售面积：</w:t>
            </w:r>
            <w:r>
              <w:rPr>
                <w:rFonts w:hint="eastAsia" w:ascii="宋体" w:hAnsi="宋体" w:eastAsia="宋体" w:cs="宋体"/>
                <w:caps w:val="0"/>
                <w:spacing w:val="0"/>
                <w:kern w:val="0"/>
                <w:sz w:val="20"/>
                <w:szCs w:val="20"/>
                <w:lang w:val="en-US" w:eastAsia="zh-CN" w:bidi="ar"/>
              </w:rPr>
              <w:t>33-50㎡，其中以33-36㎡为主；</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11月20日已开盘，一期推出3.9万方，去化约56%，均价8000-12000元/㎡，投资客按10年计返5年月供，且有90%收益。</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交通便捷，业态规划设计与时俱进且科学合理，并有光彩品牌光环，均有利于销售；但是位置较偏，对商家或多或少会存在一定的负面影响。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◇售楼部及户外广告图片：</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048000" cy="1600200"/>
                  <wp:effectExtent l="0" t="0" r="0" b="0"/>
                  <wp:docPr id="4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5" descr="IMG_310"/>
                          <pic:cNvPicPr>
                            <a:picLocks noChangeAspect="1"/>
                          </pic:cNvPicPr>
                        </pic:nvPicPr>
                        <pic:blipFill>
                          <a:blip r:embed="rId58"/>
                          <a:stretch>
                            <a:fillRect/>
                          </a:stretch>
                        </pic:blipFill>
                        <pic:spPr>
                          <a:xfrm>
                            <a:off x="0" y="0"/>
                            <a:ext cx="3048000"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85925" cy="1600200"/>
                  <wp:effectExtent l="0" t="0" r="5715" b="0"/>
                  <wp:docPr id="6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6" descr="IMG_311"/>
                          <pic:cNvPicPr>
                            <a:picLocks noChangeAspect="1"/>
                          </pic:cNvPicPr>
                        </pic:nvPicPr>
                        <pic:blipFill>
                          <a:blip r:embed="rId59"/>
                          <a:stretch>
                            <a:fillRect/>
                          </a:stretch>
                        </pic:blipFill>
                        <pic:spPr>
                          <a:xfrm>
                            <a:off x="0" y="0"/>
                            <a:ext cx="1685925" cy="16002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bookmarkStart w:id="48" w:name="_Toc408932340"/>
            <w:r>
              <w:rPr>
                <w:rFonts w:hint="eastAsia" w:ascii="宋体" w:hAnsi="宋体" w:eastAsia="宋体" w:cs="宋体"/>
                <w:caps w:val="0"/>
                <w:spacing w:val="0"/>
                <w:sz w:val="27"/>
                <w:szCs w:val="27"/>
              </w:rPr>
              <w:t>第五部分   </w:t>
            </w:r>
            <w:bookmarkEnd w:id="48"/>
            <w:r>
              <w:rPr>
                <w:rFonts w:hint="eastAsia" w:ascii="宋体" w:hAnsi="宋体" w:eastAsia="宋体" w:cs="宋体"/>
                <w:caps w:val="0"/>
                <w:spacing w:val="0"/>
                <w:sz w:val="27"/>
                <w:szCs w:val="27"/>
              </w:rPr>
              <w:t>媒体监测</w:t>
            </w:r>
          </w:p>
          <w:p>
            <w:pPr>
              <w:pStyle w:val="3"/>
              <w:keepNext w:val="0"/>
              <w:keepLines w:val="0"/>
              <w:widowControl/>
              <w:suppressLineNumbers w:val="0"/>
              <w:spacing w:line="24" w:lineRule="atLeast"/>
              <w:jc w:val="left"/>
            </w:pPr>
            <w:bookmarkStart w:id="49" w:name="_Toc408932341"/>
            <w:bookmarkEnd w:id="49"/>
            <w:bookmarkStart w:id="50" w:name="_Toc374521673"/>
            <w:bookmarkEnd w:id="50"/>
            <w:bookmarkStart w:id="51" w:name="_Toc366243093"/>
            <w:bookmarkEnd w:id="51"/>
            <w:bookmarkStart w:id="52" w:name="_Toc353178142"/>
            <w:bookmarkEnd w:id="52"/>
            <w:bookmarkStart w:id="53" w:name="_Toc347757555"/>
            <w:bookmarkEnd w:id="53"/>
            <w:r>
              <w:rPr>
                <w:caps w:val="0"/>
                <w:spacing w:val="0"/>
              </w:rPr>
              <w:t>    </w:t>
            </w:r>
            <w:bookmarkStart w:id="54" w:name="_Toc345167239"/>
            <w:r>
              <w:rPr>
                <w:rFonts w:hint="eastAsia" w:ascii="宋体" w:hAnsi="宋体" w:eastAsia="宋体" w:cs="宋体"/>
                <w:caps w:val="0"/>
                <w:spacing w:val="0"/>
                <w:sz w:val="20"/>
                <w:szCs w:val="20"/>
              </w:rPr>
              <w:t>一、</w:t>
            </w:r>
            <w:bookmarkEnd w:id="54"/>
            <w:r>
              <w:rPr>
                <w:rFonts w:hint="eastAsia" w:ascii="宋体" w:hAnsi="宋体" w:eastAsia="宋体" w:cs="宋体"/>
                <w:caps w:val="0"/>
                <w:spacing w:val="0"/>
                <w:sz w:val="20"/>
                <w:szCs w:val="20"/>
              </w:rPr>
              <w:t>项目投放量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1、各楼盘纸媒投放量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4800600" cy="2295525"/>
                  <wp:effectExtent l="0" t="0" r="0" b="5715"/>
                  <wp:docPr id="53"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7" descr="IMG_312"/>
                          <pic:cNvPicPr>
                            <a:picLocks noChangeAspect="1"/>
                          </pic:cNvPicPr>
                        </pic:nvPicPr>
                        <pic:blipFill>
                          <a:blip r:embed="rId60"/>
                          <a:stretch>
                            <a:fillRect/>
                          </a:stretch>
                        </pic:blipFill>
                        <pic:spPr>
                          <a:xfrm>
                            <a:off x="0" y="0"/>
                            <a:ext cx="4800600" cy="2295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本月截止到31日，共有24个地产项目投放报纸广告，共计92篇。本月广告投放量较大的主要有一马光彩大市场、香格里拉.玺园、飞扬.新天成、荆南熙园、锦绣.紫荆城、中央华府、阿卡迪亚等楼盘。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2、投放量前六详情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TOP 1、2、3：</w:t>
            </w:r>
            <w:r>
              <w:rPr>
                <w:rFonts w:hint="eastAsia" w:ascii="宋体" w:hAnsi="宋体" w:eastAsia="宋体" w:cs="宋体"/>
                <w:caps w:val="0"/>
                <w:spacing w:val="0"/>
                <w:kern w:val="0"/>
                <w:sz w:val="20"/>
                <w:szCs w:val="20"/>
                <w:lang w:val="en-US" w:eastAsia="zh-CN" w:bidi="ar"/>
              </w:rPr>
              <w:t>飞扬.新天成、香格里拉.玺园、一马光彩</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00200" cy="2400300"/>
                  <wp:effectExtent l="0" t="0" r="0" b="7620"/>
                  <wp:docPr id="5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8" descr="IMG_313"/>
                          <pic:cNvPicPr>
                            <a:picLocks noChangeAspect="1"/>
                          </pic:cNvPicPr>
                        </pic:nvPicPr>
                        <pic:blipFill>
                          <a:blip r:embed="rId61"/>
                          <a:stretch>
                            <a:fillRect/>
                          </a:stretch>
                        </pic:blipFill>
                        <pic:spPr>
                          <a:xfrm>
                            <a:off x="0" y="0"/>
                            <a:ext cx="1600200" cy="24003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00200" cy="2400300"/>
                  <wp:effectExtent l="0" t="0" r="0" b="7620"/>
                  <wp:docPr id="61"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descr="IMG_314"/>
                          <pic:cNvPicPr>
                            <a:picLocks noChangeAspect="1"/>
                          </pic:cNvPicPr>
                        </pic:nvPicPr>
                        <pic:blipFill>
                          <a:blip r:embed="rId62"/>
                          <a:stretch>
                            <a:fillRect/>
                          </a:stretch>
                        </pic:blipFill>
                        <pic:spPr>
                          <a:xfrm>
                            <a:off x="0" y="0"/>
                            <a:ext cx="1600200" cy="24003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09725" cy="2400300"/>
                  <wp:effectExtent l="0" t="0" r="5715" b="7620"/>
                  <wp:docPr id="5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descr="IMG_315"/>
                          <pic:cNvPicPr>
                            <a:picLocks noChangeAspect="1"/>
                          </pic:cNvPicPr>
                        </pic:nvPicPr>
                        <pic:blipFill>
                          <a:blip r:embed="rId63"/>
                          <a:stretch>
                            <a:fillRect/>
                          </a:stretch>
                        </pic:blipFill>
                        <pic:spPr>
                          <a:xfrm>
                            <a:off x="0" y="0"/>
                            <a:ext cx="1609725" cy="2400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本月飞扬新天成共投放报广9篇，2期第二批房源加推；香格里拉.玺园共投放报广9篇，主要讲55座别墅全场封顶，即将赫然面世；一马光彩共投放报广8篇，主要讲一期余盘加推。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TOP 4、5、6：</w:t>
            </w:r>
            <w:r>
              <w:rPr>
                <w:rFonts w:hint="eastAsia" w:ascii="宋体" w:hAnsi="宋体" w:eastAsia="宋体" w:cs="宋体"/>
                <w:caps w:val="0"/>
                <w:spacing w:val="0"/>
                <w:kern w:val="0"/>
                <w:sz w:val="20"/>
                <w:szCs w:val="20"/>
                <w:lang w:val="en-US" w:eastAsia="zh-CN" w:bidi="ar"/>
              </w:rPr>
              <w:t>中央华府、阿卡迪亚、荆南熙园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47825" cy="2400300"/>
                  <wp:effectExtent l="0" t="0" r="13335" b="7620"/>
                  <wp:docPr id="60"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1" descr="IMG_316"/>
                          <pic:cNvPicPr>
                            <a:picLocks noChangeAspect="1"/>
                          </pic:cNvPicPr>
                        </pic:nvPicPr>
                        <pic:blipFill>
                          <a:blip r:embed="rId64"/>
                          <a:stretch>
                            <a:fillRect/>
                          </a:stretch>
                        </pic:blipFill>
                        <pic:spPr>
                          <a:xfrm>
                            <a:off x="0" y="0"/>
                            <a:ext cx="1647825" cy="24003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38300" cy="2400300"/>
                  <wp:effectExtent l="0" t="0" r="7620" b="7620"/>
                  <wp:docPr id="65"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IMG_317"/>
                          <pic:cNvPicPr>
                            <a:picLocks noChangeAspect="1"/>
                          </pic:cNvPicPr>
                        </pic:nvPicPr>
                        <pic:blipFill>
                          <a:blip r:embed="rId65"/>
                          <a:stretch>
                            <a:fillRect/>
                          </a:stretch>
                        </pic:blipFill>
                        <pic:spPr>
                          <a:xfrm>
                            <a:off x="0" y="0"/>
                            <a:ext cx="1638300" cy="24003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1638300" cy="2400300"/>
                  <wp:effectExtent l="0" t="0" r="7620" b="7620"/>
                  <wp:docPr id="5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3" descr="IMG_318"/>
                          <pic:cNvPicPr>
                            <a:picLocks noChangeAspect="1"/>
                          </pic:cNvPicPr>
                        </pic:nvPicPr>
                        <pic:blipFill>
                          <a:blip r:embed="rId66"/>
                          <a:stretch>
                            <a:fillRect/>
                          </a:stretch>
                        </pic:blipFill>
                        <pic:spPr>
                          <a:xfrm>
                            <a:off x="0" y="0"/>
                            <a:ext cx="1638300" cy="2400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本月中央华府共投放报广6篇，12月27日盛大开盘信息；荆南熙园共6篇，主讲12月20日3#楼盛大认筹；阿卡迪亚共6篇，主讲认筹抽抽大奖。</w:t>
            </w:r>
            <w:bookmarkStart w:id="55" w:name="_Toc374521674"/>
            <w:bookmarkEnd w:id="55"/>
            <w:bookmarkStart w:id="56" w:name="_Toc366243094"/>
            <w:bookmarkEnd w:id="56"/>
            <w:bookmarkStart w:id="57" w:name="_Toc353178143"/>
            <w:bookmarkEnd w:id="57"/>
            <w:bookmarkStart w:id="58" w:name="_Toc347757556"/>
            <w:bookmarkEnd w:id="58"/>
            <w:bookmarkStart w:id="59" w:name="_Toc345167240"/>
            <w:bookmarkEnd w:id="59"/>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w:t>
            </w:r>
            <w:bookmarkStart w:id="60" w:name="_Toc408932342"/>
            <w:r>
              <w:rPr>
                <w:rFonts w:hint="eastAsia" w:ascii="宋体" w:hAnsi="宋体" w:eastAsia="宋体" w:cs="宋体"/>
                <w:caps w:val="0"/>
                <w:spacing w:val="0"/>
                <w:sz w:val="20"/>
                <w:szCs w:val="20"/>
              </w:rPr>
              <w:t>二 、报广投放</w:t>
            </w:r>
            <w:bookmarkEnd w:id="60"/>
            <w:r>
              <w:rPr>
                <w:rFonts w:hint="eastAsia" w:ascii="宋体" w:hAnsi="宋体" w:eastAsia="宋体" w:cs="宋体"/>
                <w:caps w:val="0"/>
                <w:spacing w:val="0"/>
                <w:sz w:val="20"/>
                <w:szCs w:val="20"/>
              </w:rPr>
              <w:t>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1、投放时间</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343150" cy="1466850"/>
                  <wp:effectExtent l="0" t="0" r="3810" b="11430"/>
                  <wp:docPr id="56"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4" descr="IMG_319"/>
                          <pic:cNvPicPr>
                            <a:picLocks noChangeAspect="1"/>
                          </pic:cNvPicPr>
                        </pic:nvPicPr>
                        <pic:blipFill>
                          <a:blip r:embed="rId67"/>
                          <a:stretch>
                            <a:fillRect/>
                          </a:stretch>
                        </pic:blipFill>
                        <pic:spPr>
                          <a:xfrm>
                            <a:off x="0" y="0"/>
                            <a:ext cx="2343150" cy="14668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381250" cy="1466850"/>
                  <wp:effectExtent l="0" t="0" r="11430" b="11430"/>
                  <wp:docPr id="64"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descr="IMG_320"/>
                          <pic:cNvPicPr>
                            <a:picLocks noChangeAspect="1"/>
                          </pic:cNvPicPr>
                        </pic:nvPicPr>
                        <pic:blipFill>
                          <a:blip r:embed="rId68"/>
                          <a:stretch>
                            <a:fillRect/>
                          </a:stretch>
                        </pic:blipFill>
                        <pic:spPr>
                          <a:xfrm>
                            <a:off x="0" y="0"/>
                            <a:ext cx="2381250"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本月投广量较大的时间点有24号、12号、17号、22号及26号，</w:t>
            </w:r>
            <w:r>
              <w:rPr>
                <w:rFonts w:hint="eastAsia" w:ascii="宋体" w:hAnsi="宋体" w:eastAsia="宋体" w:cs="宋体"/>
                <w:b/>
                <w:caps w:val="0"/>
                <w:spacing w:val="0"/>
                <w:kern w:val="0"/>
                <w:sz w:val="20"/>
                <w:szCs w:val="20"/>
                <w:lang w:val="en-US" w:eastAsia="zh-CN" w:bidi="ar"/>
              </w:rPr>
              <w:t>主要集中在周五</w:t>
            </w:r>
            <w:r>
              <w:rPr>
                <w:rFonts w:hint="eastAsia" w:ascii="宋体" w:hAnsi="宋体" w:eastAsia="宋体" w:cs="宋体"/>
                <w:caps w:val="0"/>
                <w:spacing w:val="0"/>
                <w:kern w:val="0"/>
                <w:sz w:val="20"/>
                <w:szCs w:val="20"/>
                <w:lang w:val="en-US" w:eastAsia="zh-CN" w:bidi="ar"/>
              </w:rPr>
              <w:t>。其中24号投放量最大，主要是临近时间点有项目开盘、圣诞节。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2、投放媒体及版面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505075" cy="1733550"/>
                  <wp:effectExtent l="0" t="0" r="9525" b="3810"/>
                  <wp:docPr id="6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321"/>
                          <pic:cNvPicPr>
                            <a:picLocks noChangeAspect="1"/>
                          </pic:cNvPicPr>
                        </pic:nvPicPr>
                        <pic:blipFill>
                          <a:blip r:embed="rId69"/>
                          <a:stretch>
                            <a:fillRect/>
                          </a:stretch>
                        </pic:blipFill>
                        <pic:spPr>
                          <a:xfrm>
                            <a:off x="0" y="0"/>
                            <a:ext cx="2505075" cy="17335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466975" cy="1733550"/>
                  <wp:effectExtent l="0" t="0" r="1905" b="3810"/>
                  <wp:docPr id="5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7" descr="IMG_322"/>
                          <pic:cNvPicPr>
                            <a:picLocks noChangeAspect="1"/>
                          </pic:cNvPicPr>
                        </pic:nvPicPr>
                        <pic:blipFill>
                          <a:blip r:embed="rId70"/>
                          <a:stretch>
                            <a:fillRect/>
                          </a:stretch>
                        </pic:blipFill>
                        <pic:spPr>
                          <a:xfrm>
                            <a:off x="0" y="0"/>
                            <a:ext cx="246697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荆门晚报投放量位居本月榜首</w:t>
            </w:r>
            <w:r>
              <w:rPr>
                <w:rFonts w:hint="eastAsia" w:ascii="宋体" w:hAnsi="宋体" w:eastAsia="宋体" w:cs="宋体"/>
                <w:caps w:val="0"/>
                <w:spacing w:val="0"/>
                <w:kern w:val="0"/>
                <w:sz w:val="20"/>
                <w:szCs w:val="20"/>
                <w:lang w:val="en-US" w:eastAsia="zh-CN" w:bidi="ar"/>
              </w:rPr>
              <w:t>，共40篇，占纸媒总投放量43%。湖北都市前沿次之，共37篇。本月媒体投放版面</w:t>
            </w:r>
            <w:r>
              <w:rPr>
                <w:rFonts w:hint="eastAsia" w:ascii="宋体" w:hAnsi="宋体" w:eastAsia="宋体" w:cs="宋体"/>
                <w:b/>
                <w:caps w:val="0"/>
                <w:spacing w:val="0"/>
                <w:kern w:val="0"/>
                <w:sz w:val="20"/>
                <w:szCs w:val="20"/>
                <w:lang w:val="en-US" w:eastAsia="zh-CN" w:bidi="ar"/>
              </w:rPr>
              <w:t>以整版为主</w:t>
            </w:r>
            <w:r>
              <w:rPr>
                <w:rFonts w:hint="eastAsia" w:ascii="宋体" w:hAnsi="宋体" w:eastAsia="宋体" w:cs="宋体"/>
                <w:caps w:val="0"/>
                <w:spacing w:val="0"/>
                <w:kern w:val="0"/>
                <w:sz w:val="20"/>
                <w:szCs w:val="20"/>
                <w:lang w:val="en-US" w:eastAsia="zh-CN" w:bidi="ar"/>
              </w:rPr>
              <w:t>，共计70篇，投放量较多的楼盘主要有一马光彩大市场、飞扬.新天成、中央华府、中建.荆南熙园、阿卡迪亚等。半版次之，共计22篇，投放量较多的楼盘主要有香格里拉.玺园、君悦佳园、御景尚城等。</w:t>
            </w:r>
          </w:p>
          <w:p>
            <w:pPr>
              <w:pStyle w:val="2"/>
              <w:keepNext w:val="0"/>
              <w:keepLines w:val="0"/>
              <w:widowControl/>
              <w:suppressLineNumbers w:val="0"/>
              <w:spacing w:line="24" w:lineRule="atLeast"/>
              <w:jc w:val="center"/>
            </w:pPr>
            <w:bookmarkStart w:id="61" w:name="_Toc408932343"/>
            <w:r>
              <w:rPr>
                <w:caps w:val="0"/>
                <w:spacing w:val="0"/>
                <w:sz w:val="27"/>
                <w:szCs w:val="27"/>
              </w:rPr>
              <w:t>第六部分   </w:t>
            </w:r>
            <w:bookmarkEnd w:id="61"/>
            <w:r>
              <w:rPr>
                <w:caps w:val="0"/>
                <w:spacing w:val="0"/>
                <w:sz w:val="27"/>
                <w:szCs w:val="27"/>
              </w:rPr>
              <w:t>本月荆门楼市运行特点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（1）土地市场：</w:t>
            </w:r>
            <w:r>
              <w:rPr>
                <w:rFonts w:hint="eastAsia" w:ascii="宋体" w:hAnsi="宋体" w:eastAsia="宋体" w:cs="宋体"/>
                <w:caps w:val="0"/>
                <w:spacing w:val="0"/>
                <w:kern w:val="0"/>
                <w:sz w:val="20"/>
                <w:szCs w:val="20"/>
                <w:lang w:val="en-US" w:eastAsia="zh-CN" w:bidi="ar"/>
              </w:rPr>
              <w:t>本月土地供应量与成交量</w:t>
            </w:r>
            <w:r>
              <w:rPr>
                <w:rFonts w:hint="eastAsia" w:ascii="宋体" w:hAnsi="宋体" w:eastAsia="宋体" w:cs="宋体"/>
                <w:b/>
                <w:caps w:val="0"/>
                <w:spacing w:val="0"/>
                <w:kern w:val="0"/>
                <w:sz w:val="20"/>
                <w:szCs w:val="20"/>
                <w:lang w:val="en-US" w:eastAsia="zh-CN" w:bidi="ar"/>
              </w:rPr>
              <w:t>较11月而言均大幅攀升</w:t>
            </w:r>
            <w:r>
              <w:rPr>
                <w:rFonts w:hint="eastAsia" w:ascii="宋体" w:hAnsi="宋体" w:eastAsia="宋体" w:cs="宋体"/>
                <w:caps w:val="0"/>
                <w:spacing w:val="0"/>
                <w:kern w:val="0"/>
                <w:sz w:val="20"/>
                <w:szCs w:val="20"/>
                <w:lang w:val="en-US" w:eastAsia="zh-CN" w:bidi="ar"/>
              </w:rPr>
              <w:t>；本月出让土地面积约22.2万方，总出让额1.75亿元，其中住宅与商业类用地</w:t>
            </w:r>
            <w:r>
              <w:rPr>
                <w:rFonts w:hint="eastAsia" w:ascii="宋体" w:hAnsi="宋体" w:eastAsia="宋体" w:cs="宋体"/>
                <w:b/>
                <w:caps w:val="0"/>
                <w:spacing w:val="0"/>
                <w:kern w:val="0"/>
                <w:sz w:val="20"/>
                <w:szCs w:val="20"/>
                <w:lang w:val="en-US" w:eastAsia="zh-CN" w:bidi="ar"/>
              </w:rPr>
              <w:t>供应量大增，用地区位不断西拓</w:t>
            </w:r>
            <w:r>
              <w:rPr>
                <w:rFonts w:hint="eastAsia" w:ascii="宋体" w:hAnsi="宋体" w:eastAsia="宋体" w:cs="宋体"/>
                <w:caps w:val="0"/>
                <w:spacing w:val="0"/>
                <w:kern w:val="0"/>
                <w:sz w:val="20"/>
                <w:szCs w:val="20"/>
                <w:lang w:val="en-US" w:eastAsia="zh-CN" w:bidi="ar"/>
              </w:rPr>
              <w:t>；推地量大环比大幅增加，从住宅类用地供应量上来看，出让面积为16.5万方，环比上涨了1.7倍，同比减少67%，</w:t>
            </w:r>
            <w:r>
              <w:rPr>
                <w:rFonts w:hint="eastAsia" w:ascii="宋体" w:hAnsi="宋体" w:eastAsia="宋体" w:cs="宋体"/>
                <w:b/>
                <w:caps w:val="0"/>
                <w:spacing w:val="0"/>
                <w:kern w:val="0"/>
                <w:sz w:val="20"/>
                <w:szCs w:val="20"/>
                <w:lang w:val="en-US" w:eastAsia="zh-CN" w:bidi="ar"/>
              </w:rPr>
              <w:t>住宅类用地环比大幅增加，同比有所减少</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（2）楼市分析：荆门楼市乏力</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但本月表现很好，</w:t>
            </w:r>
            <w:r>
              <w:rPr>
                <w:rFonts w:hint="eastAsia" w:ascii="宋体" w:hAnsi="宋体" w:eastAsia="宋体" w:cs="宋体"/>
                <w:caps w:val="0"/>
                <w:spacing w:val="0"/>
                <w:kern w:val="0"/>
                <w:sz w:val="20"/>
                <w:szCs w:val="20"/>
                <w:lang w:val="en-US" w:eastAsia="zh-CN" w:bidi="ar"/>
              </w:rPr>
              <w:t>2014年荆门住宅市场商品房成交价格显现出</w:t>
            </w:r>
            <w:r>
              <w:rPr>
                <w:rFonts w:hint="eastAsia" w:ascii="宋体" w:hAnsi="宋体" w:eastAsia="宋体" w:cs="宋体"/>
                <w:b/>
                <w:caps w:val="0"/>
                <w:spacing w:val="0"/>
                <w:kern w:val="0"/>
                <w:sz w:val="20"/>
                <w:szCs w:val="20"/>
                <w:lang w:val="en-US" w:eastAsia="zh-CN" w:bidi="ar"/>
              </w:rPr>
              <w:t>时涨时跌，总体微下跌的行情</w:t>
            </w:r>
            <w:r>
              <w:rPr>
                <w:rFonts w:hint="eastAsia" w:ascii="宋体" w:hAnsi="宋体" w:eastAsia="宋体" w:cs="宋体"/>
                <w:caps w:val="0"/>
                <w:spacing w:val="0"/>
                <w:kern w:val="0"/>
                <w:sz w:val="20"/>
                <w:szCs w:val="20"/>
                <w:lang w:val="en-US" w:eastAsia="zh-CN" w:bidi="ar"/>
              </w:rPr>
              <w:t>。1月-12月荆门房地产市场商品房成交量共计13288套，同比下降4.3%，住宅类成交11139套，同比下降8.5%；非住宅类成交2149套，同比上涨22.4%。其中12月荆门住宅类销售1054套，环比11月增长41%，同比增长28%。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分析原因是</w:t>
            </w:r>
            <w:r>
              <w:rPr>
                <w:rFonts w:hint="eastAsia" w:ascii="宋体" w:hAnsi="宋体" w:eastAsia="宋体" w:cs="宋体"/>
                <w:b/>
                <w:caps w:val="0"/>
                <w:spacing w:val="0"/>
                <w:kern w:val="0"/>
                <w:sz w:val="20"/>
                <w:szCs w:val="20"/>
                <w:lang w:val="en-US" w:eastAsia="zh-CN" w:bidi="ar"/>
              </w:rPr>
              <w:t>国家及荆门市政府出台了利好政策，众多开发商选择以价换量策略。</w:t>
            </w:r>
            <w:r>
              <w:rPr>
                <w:rFonts w:hint="eastAsia" w:ascii="宋体" w:hAnsi="宋体" w:eastAsia="宋体" w:cs="宋体"/>
                <w:caps w:val="0"/>
                <w:spacing w:val="0"/>
                <w:kern w:val="0"/>
                <w:sz w:val="20"/>
                <w:szCs w:val="20"/>
                <w:lang w:val="en-US" w:eastAsia="zh-CN" w:bidi="ar"/>
              </w:rPr>
              <w:t>2014年荆门房地产市场告诉我们：市场不景气、竞争的白热化使得荆门房地产市场走过了虽然平稳却异常艰辛的一年。</w:t>
            </w:r>
            <w:r>
              <w:rPr>
                <w:rFonts w:hint="eastAsia" w:ascii="宋体" w:hAnsi="宋体" w:eastAsia="宋体" w:cs="宋体"/>
                <w:b/>
                <w:caps w:val="0"/>
                <w:spacing w:val="0"/>
                <w:kern w:val="0"/>
                <w:sz w:val="20"/>
                <w:szCs w:val="20"/>
                <w:lang w:val="en-US" w:eastAsia="zh-CN" w:bidi="ar"/>
              </w:rPr>
              <w:t>但我司认为，作为荆门经济支柱的房地产行业在未来仍然存在很大的发展空间，刚需的大量存在、城镇化进程的加速发展、政府支持等都是推动房地产行业在“新常态”下继续向前的重要推动力。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（3）媒体监测及楼盘动态：</w:t>
            </w:r>
            <w:r>
              <w:rPr>
                <w:rFonts w:hint="eastAsia" w:ascii="宋体" w:hAnsi="宋体" w:eastAsia="宋体" w:cs="宋体"/>
                <w:caps w:val="0"/>
                <w:spacing w:val="0"/>
                <w:kern w:val="0"/>
                <w:sz w:val="20"/>
                <w:szCs w:val="20"/>
                <w:lang w:val="en-US" w:eastAsia="zh-CN" w:bidi="ar"/>
              </w:rPr>
              <w:t>返乡置业大军马上到来，在此阶段开发商投广的力度较前期有所加大力度。面对市场的白热化，本月楼市呈现的活动有：碧波春城“红红火火圣诞夜篝火晚会”荆南熙园“广场舞大赛”、万达华府“返乡季一票抵万金”、公路花园“微信三重礼”等。</w:t>
            </w:r>
          </w:p>
        </w:tc>
      </w:tr>
    </w:tbl>
    <w:p>
      <w:bookmarkStart w:id="62" w:name="_GoBack"/>
      <w:bookmarkEnd w:id="6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285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2019-09-30T02:51:56Z</dcterms:created>
  <dc:creator>HP</dc:creator>
  <cp:lastModifiedBy>joke</cp:lastModifiedBy>
  <dcterms:modified xsi:type="dcterms:W3CDTF">2019-09-30T02:52:13Z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