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tblLayout w:type="fixed"/>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2014年5月宜昌市城区房地产市场分析报告</w:t>
            </w:r>
          </w:p>
        </w:tc>
      </w:tr>
      <w:tr>
        <w:tblPrEx>
          <w:tblLayout w:type="fixed"/>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发布时间：6/16/2014 3:00:26 PM 浏览：2050</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bookmarkStart w:id="0" w:name="_Toc389951420"/>
            <w:r>
              <w:rPr>
                <w:rFonts w:hint="eastAsia" w:ascii="宋体" w:hAnsi="宋体" w:eastAsia="宋体" w:cs="宋体"/>
                <w:caps w:val="0"/>
                <w:spacing w:val="0"/>
                <w:sz w:val="27"/>
                <w:szCs w:val="27"/>
              </w:rPr>
              <w:t>第一部分  </w:t>
            </w:r>
            <w:bookmarkEnd w:id="0"/>
            <w:r>
              <w:rPr>
                <w:rFonts w:hint="eastAsia" w:ascii="宋体" w:hAnsi="宋体" w:eastAsia="宋体" w:cs="宋体"/>
                <w:caps w:val="0"/>
                <w:spacing w:val="0"/>
                <w:sz w:val="27"/>
                <w:szCs w:val="27"/>
              </w:rPr>
              <w:t>楼市政策分析</w:t>
            </w:r>
          </w:p>
          <w:p>
            <w:pPr>
              <w:pStyle w:val="3"/>
              <w:keepNext w:val="0"/>
              <w:keepLines w:val="0"/>
              <w:widowControl/>
              <w:suppressLineNumbers w:val="0"/>
              <w:spacing w:line="24" w:lineRule="atLeast"/>
            </w:pPr>
            <w:bookmarkStart w:id="1" w:name="_Toc389951421"/>
            <w:bookmarkEnd w:id="1"/>
            <w:bookmarkStart w:id="2" w:name="_Toc384797619"/>
            <w:bookmarkEnd w:id="2"/>
            <w:bookmarkStart w:id="3" w:name="_Toc384797303"/>
            <w:bookmarkEnd w:id="3"/>
            <w:bookmarkStart w:id="4" w:name="_Toc384797221"/>
            <w:bookmarkEnd w:id="4"/>
            <w:bookmarkStart w:id="5" w:name="_Toc384796962"/>
            <w:bookmarkEnd w:id="5"/>
            <w:bookmarkStart w:id="6" w:name="_Toc380050033"/>
            <w:bookmarkEnd w:id="6"/>
            <w:bookmarkStart w:id="7" w:name="_Toc347757543"/>
            <w:bookmarkEnd w:id="7"/>
            <w:r>
              <w:rPr>
                <w:caps w:val="0"/>
                <w:spacing w:val="0"/>
              </w:rPr>
              <w:t>   </w:t>
            </w:r>
            <w:bookmarkStart w:id="8" w:name="_Toc345167227"/>
            <w:r>
              <w:rPr>
                <w:rFonts w:hint="eastAsia" w:ascii="宋体" w:hAnsi="宋体" w:eastAsia="宋体" w:cs="宋体"/>
                <w:caps w:val="0"/>
                <w:spacing w:val="0"/>
                <w:sz w:val="20"/>
                <w:szCs w:val="20"/>
              </w:rPr>
              <w:t>一、本月楼市政策一览</w:t>
            </w:r>
            <w:bookmarkEnd w:id="8"/>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1、5月12日，央行：优先满足首置，提高服务效率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央行副行长刘士余于当日主持召开了住房金融服务专题座谈会，五大国有银行等15家银行参加了会议，研究落实差别化住房信贷政策、改进住房金融服务有关工作，其中提出“要求优先满足居民家庭首次购买自住普通商品住房的贷款需求”、“及时审批和发放符合条件的个人住房贷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近期金融机构信贷政策始终趋紧，商业银行收紧房贷政策以及部分地区银行停贷的传闻令楼市陷入了较为低迷的局面。此次央行力挺首套房贷需求的做法，也是为了防止房地产调整对我国经济发展所造成的负面影响。但是，虽然监管层释放出首套房信贷回暖的政策信号，可具体效果还要取决于各家商业银行的执行力度。</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 、5月20日，扬州政府：恢复住房公积金“又提又贷”政策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扬州住房公积金管理中心网站发布的《关于认真做好当前住房公积金贷款管理工作的通知》要求，从5月20日起，扬州允许借款人申请公积金贷款时提取本人及配偶的住房公积金，其他直系亲属的住房公积金可在结清贷款时使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公积金又提又贷”政策的放松，意味着购房者不但可以使用公积金贷款，还可以提取公积金付首付款，同时还可以使用直系亲属的公积金支付购房款，这无疑是增加了购房者的资金实力，有利于刺激购房者购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政策总结：</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本月政策</w:t>
            </w:r>
            <w:r>
              <w:rPr>
                <w:rFonts w:hint="eastAsia" w:ascii="宋体" w:hAnsi="宋体" w:eastAsia="宋体" w:cs="宋体"/>
                <w:b/>
                <w:caps w:val="0"/>
                <w:spacing w:val="0"/>
                <w:kern w:val="0"/>
                <w:sz w:val="20"/>
                <w:szCs w:val="20"/>
                <w:lang w:val="en-US" w:eastAsia="zh-CN" w:bidi="ar"/>
              </w:rPr>
              <w:t>略有波动</w:t>
            </w:r>
            <w:r>
              <w:rPr>
                <w:rFonts w:hint="eastAsia" w:ascii="宋体" w:hAnsi="宋体" w:eastAsia="宋体" w:cs="宋体"/>
                <w:caps w:val="0"/>
                <w:spacing w:val="0"/>
                <w:kern w:val="0"/>
                <w:sz w:val="20"/>
                <w:szCs w:val="20"/>
                <w:lang w:val="en-US" w:eastAsia="zh-CN" w:bidi="ar"/>
              </w:rPr>
              <w:t>，地方政府动作频频，</w:t>
            </w:r>
            <w:r>
              <w:rPr>
                <w:rFonts w:hint="eastAsia" w:ascii="宋体" w:hAnsi="宋体" w:eastAsia="宋体" w:cs="宋体"/>
                <w:b/>
                <w:caps w:val="0"/>
                <w:spacing w:val="0"/>
                <w:kern w:val="0"/>
                <w:sz w:val="20"/>
                <w:szCs w:val="20"/>
                <w:lang w:val="en-US" w:eastAsia="zh-CN" w:bidi="ar"/>
              </w:rPr>
              <w:t>分类调控不断</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5月中旬，央行召集各大银行与会提出“刚需优先”，维稳民生。近期郑州出台购房获政策担保的举措；扬州对准公积金恢复了“又提又贷”政策；铜陵就公积金及契税补贴制定了一系列利好措施；宣城提高公积金贷款额度；而海口则放宽购房者落户人数。面对市场低迷局面，各方均各出各招，刺激购房，但力度有限，可能效果不大。楼市现状堪忧，库存日渐高企，观望之风不减，</w:t>
            </w:r>
            <w:r>
              <w:rPr>
                <w:rFonts w:hint="eastAsia" w:ascii="宋体" w:hAnsi="宋体" w:eastAsia="宋体" w:cs="宋体"/>
                <w:b/>
                <w:caps w:val="0"/>
                <w:spacing w:val="0"/>
                <w:kern w:val="0"/>
                <w:sz w:val="20"/>
                <w:szCs w:val="20"/>
                <w:lang w:val="en-US" w:eastAsia="zh-CN" w:bidi="ar"/>
              </w:rPr>
              <w:t>救市城市势必将继续扩容。</w:t>
            </w:r>
          </w:p>
          <w:p>
            <w:pPr>
              <w:pStyle w:val="3"/>
              <w:keepNext w:val="0"/>
              <w:keepLines w:val="0"/>
              <w:widowControl/>
              <w:suppressLineNumbers w:val="0"/>
              <w:spacing w:line="24" w:lineRule="atLeast"/>
            </w:pPr>
            <w:bookmarkStart w:id="9" w:name="_Toc389951422"/>
            <w:bookmarkEnd w:id="9"/>
            <w:bookmarkStart w:id="10" w:name="_Toc384797620"/>
            <w:bookmarkEnd w:id="10"/>
            <w:bookmarkStart w:id="11" w:name="_Toc384797304"/>
            <w:bookmarkEnd w:id="11"/>
            <w:bookmarkStart w:id="12" w:name="_Toc384797222"/>
            <w:bookmarkEnd w:id="12"/>
            <w:bookmarkStart w:id="13" w:name="_Toc384796963"/>
            <w:bookmarkEnd w:id="13"/>
            <w:r>
              <w:rPr>
                <w:caps w:val="0"/>
                <w:spacing w:val="0"/>
              </w:rPr>
              <w:t>    </w:t>
            </w:r>
            <w:bookmarkStart w:id="14" w:name="_Toc380050034"/>
            <w:r>
              <w:rPr>
                <w:rFonts w:hint="eastAsia" w:ascii="宋体" w:hAnsi="宋体" w:eastAsia="宋体" w:cs="宋体"/>
                <w:caps w:val="0"/>
                <w:spacing w:val="0"/>
                <w:sz w:val="20"/>
                <w:szCs w:val="20"/>
              </w:rPr>
              <w:t>二、楼市发展趋势分析</w:t>
            </w:r>
            <w:bookmarkEnd w:id="14"/>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 供应情况：5月全国300个城市共推出土地3234宗，环比增加18%，同比减少16%；推出土地面积10327万平方米，环比减少5%，同比减少32%；其中，住宅类用地（含住宅用地及包含住宅用地的综合性用地）826宗，环比增加1%，同比减少29%；推出土地面积3558万平方米，环比增加0.5%，同比减少31%。</w:t>
            </w:r>
            <w:r>
              <w:rPr>
                <w:rFonts w:hint="eastAsia" w:ascii="宋体" w:hAnsi="宋体" w:eastAsia="宋体" w:cs="宋体"/>
                <w:b/>
                <w:caps w:val="0"/>
                <w:spacing w:val="0"/>
                <w:kern w:val="0"/>
                <w:sz w:val="20"/>
                <w:szCs w:val="20"/>
                <w:lang w:val="en-US" w:eastAsia="zh-CN" w:bidi="ar"/>
              </w:rPr>
              <w:t>主要城市供地节奏放缓，宅地入市量与上月持平，同比跌幅  仍维持在10个百分点以上。</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 成交情况：5月全国300个城市共成交土地1767宗，环比减少19%，同比减少45%；成交面积6221万平方米，环比减少26%，同比减少49%。其中，住宅类用地（含住宅用地及包含住宅用地的综合性用地）414宗，环比减少37%，同比减少54%；成交面积1774万平方米，环比减少42%，同比减少56%。</w:t>
            </w:r>
            <w:r>
              <w:rPr>
                <w:rFonts w:hint="eastAsia" w:ascii="宋体" w:hAnsi="宋体" w:eastAsia="宋体" w:cs="宋体"/>
                <w:b/>
                <w:caps w:val="0"/>
                <w:spacing w:val="0"/>
                <w:kern w:val="0"/>
                <w:sz w:val="20"/>
                <w:szCs w:val="20"/>
                <w:lang w:val="en-US" w:eastAsia="zh-CN" w:bidi="ar"/>
              </w:rPr>
              <w:t>随着楼市观望情绪持续，房企拿地趋于谨慎，成交量上月短暂回升后再度下跌，同比跌幅扩大。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 成交价格：5月全国300个城市成交楼面均价为1144元/平方米，环比下跌8%，同比上涨10%；其中住宅类用地（含住宅用地及包含住宅用地的综合性用地）成交楼面均价为1739元/平方米，环比持平，同比上涨23%。</w:t>
            </w:r>
            <w:r>
              <w:rPr>
                <w:rFonts w:hint="eastAsia" w:ascii="宋体" w:hAnsi="宋体" w:eastAsia="宋体" w:cs="宋体"/>
                <w:b/>
                <w:caps w:val="0"/>
                <w:spacing w:val="0"/>
                <w:kern w:val="0"/>
                <w:sz w:val="20"/>
                <w:szCs w:val="20"/>
                <w:lang w:val="en-US" w:eastAsia="zh-CN" w:bidi="ar"/>
              </w:rPr>
              <w:t>土地成交楼面均价止涨下跌，同比涨幅明显收窄。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监测的100个城市中大半成交价格环比下降，其中保定、厦门涨幅最大，分别为2.84%、2.78%，汕头、呼和浩特则环比跌幅最大，均在3%以上。10个重点城市中，除北京、天津价格环比上涨外其余全部下跌，其中南京跌幅最大，环比下跌1.36%。</w:t>
            </w:r>
            <w:r>
              <w:rPr>
                <w:rFonts w:hint="eastAsia" w:ascii="宋体" w:hAnsi="宋体" w:eastAsia="宋体" w:cs="宋体"/>
                <w:b/>
                <w:caps w:val="0"/>
                <w:spacing w:val="0"/>
                <w:kern w:val="0"/>
                <w:sz w:val="20"/>
                <w:szCs w:val="20"/>
                <w:lang w:val="en-US" w:eastAsia="zh-CN" w:bidi="ar"/>
              </w:rPr>
              <w:t>总体而言，本月成交均价大半下跌。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本月宜昌楼市情况：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宜昌楼市仍表现低迷，未现红五月景象，成交量仍维持在较低水平，未有较大突破。5月土地市场成交量有所回升且好于去年同期，但却低于整体平均水平；与其类似，住宅市场成交量也出现反弹，然而上升的力度仍显不足。目前国家经济处于调整期，宏观政策未有大的变动，但地方分类调控不断，楼市动作 趋于理性，观望之风不减。</w:t>
            </w:r>
          </w:p>
          <w:p>
            <w:pPr>
              <w:pStyle w:val="4"/>
              <w:keepNext w:val="0"/>
              <w:keepLines w:val="0"/>
              <w:widowControl/>
              <w:suppressLineNumbers w:val="0"/>
              <w:shd w:val="clear" w:fill="FFFFFF"/>
              <w:spacing w:before="0" w:beforeAutospacing="0" w:after="0" w:afterAutospacing="0" w:line="24" w:lineRule="atLeast"/>
              <w:ind w:left="0" w:right="0" w:firstLine="480"/>
            </w:pPr>
            <w:r>
              <w:rPr>
                <w:rFonts w:hint="eastAsia" w:ascii="宋体" w:hAnsi="宋体" w:eastAsia="宋体" w:cs="宋体"/>
                <w:caps w:val="0"/>
                <w:spacing w:val="0"/>
                <w:sz w:val="14"/>
                <w:szCs w:val="14"/>
                <w:shd w:val="clear" w:fill="FFFFFF"/>
              </w:rPr>
              <w:t>       </w:t>
            </w:r>
            <w:r>
              <w:rPr>
                <w:rFonts w:hint="eastAsia" w:ascii="宋体" w:hAnsi="宋体" w:eastAsia="宋体" w:cs="宋体"/>
                <w:caps w:val="0"/>
                <w:spacing w:val="0"/>
                <w:sz w:val="14"/>
                <w:szCs w:val="14"/>
                <w:shd w:val="clear" w:fill="FFFFFF"/>
              </w:rPr>
              <w:drawing>
                <wp:inline distT="0" distB="0" distL="114300" distR="114300">
                  <wp:extent cx="5067300" cy="1543050"/>
                  <wp:effectExtent l="0" t="0" r="7620" b="1143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067300" cy="154305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bookmarkStart w:id="15" w:name="_Toc389951423"/>
            <w:bookmarkEnd w:id="15"/>
            <w:bookmarkStart w:id="16" w:name="_Toc384797621"/>
            <w:bookmarkEnd w:id="16"/>
            <w:bookmarkStart w:id="17" w:name="_Toc384797305"/>
            <w:bookmarkEnd w:id="17"/>
            <w:bookmarkStart w:id="18" w:name="_Toc384797223"/>
            <w:bookmarkEnd w:id="18"/>
            <w:bookmarkStart w:id="19" w:name="_Toc384796964"/>
            <w:r>
              <w:rPr>
                <w:rFonts w:hint="eastAsia" w:ascii="宋体" w:hAnsi="宋体" w:eastAsia="宋体" w:cs="宋体"/>
                <w:caps w:val="0"/>
                <w:spacing w:val="0"/>
                <w:sz w:val="27"/>
                <w:szCs w:val="27"/>
              </w:rPr>
              <w:t>第二部分  </w:t>
            </w:r>
            <w:bookmarkEnd w:id="19"/>
            <w:r>
              <w:rPr>
                <w:rFonts w:hint="eastAsia" w:ascii="宋体" w:hAnsi="宋体" w:eastAsia="宋体" w:cs="宋体"/>
                <w:caps w:val="0"/>
                <w:spacing w:val="0"/>
                <w:sz w:val="27"/>
                <w:szCs w:val="27"/>
              </w:rPr>
              <w:t>土地市场分析</w:t>
            </w:r>
          </w:p>
          <w:p>
            <w:pPr>
              <w:pStyle w:val="3"/>
              <w:keepNext w:val="0"/>
              <w:keepLines w:val="0"/>
              <w:widowControl/>
              <w:suppressLineNumbers w:val="0"/>
              <w:spacing w:line="24" w:lineRule="atLeast"/>
            </w:pPr>
            <w:bookmarkStart w:id="20" w:name="_Toc389951424"/>
            <w:bookmarkEnd w:id="20"/>
            <w:bookmarkStart w:id="21" w:name="_Toc384797622"/>
            <w:bookmarkEnd w:id="21"/>
            <w:bookmarkStart w:id="22" w:name="_Toc384797306"/>
            <w:bookmarkEnd w:id="22"/>
            <w:bookmarkStart w:id="23" w:name="_Toc384797224"/>
            <w:bookmarkEnd w:id="23"/>
            <w:bookmarkStart w:id="24" w:name="_Toc384796965"/>
            <w:bookmarkEnd w:id="24"/>
            <w:bookmarkStart w:id="25" w:name="_Toc380050036"/>
            <w:bookmarkEnd w:id="25"/>
            <w:bookmarkStart w:id="26" w:name="_Toc353178132"/>
            <w:bookmarkEnd w:id="26"/>
            <w:bookmarkStart w:id="27" w:name="_Toc347757546"/>
            <w:bookmarkEnd w:id="27"/>
            <w:r>
              <w:rPr>
                <w:caps w:val="0"/>
                <w:spacing w:val="0"/>
              </w:rPr>
              <w:t>    </w:t>
            </w:r>
            <w:bookmarkStart w:id="28" w:name="_Toc339981458"/>
            <w:r>
              <w:rPr>
                <w:rFonts w:hint="eastAsia" w:ascii="宋体" w:hAnsi="宋体" w:eastAsia="宋体" w:cs="宋体"/>
                <w:caps w:val="0"/>
                <w:spacing w:val="0"/>
                <w:sz w:val="20"/>
                <w:szCs w:val="20"/>
              </w:rPr>
              <w:t>一、土地供应市场解析</w:t>
            </w:r>
            <w:bookmarkEnd w:id="28"/>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9" w:name="_Toc380050037"/>
            <w:bookmarkEnd w:id="29"/>
            <w:r>
              <w:rPr>
                <w:rFonts w:hint="eastAsia" w:ascii="宋体" w:hAnsi="宋体" w:eastAsia="宋体" w:cs="宋体"/>
                <w:caps w:val="0"/>
                <w:spacing w:val="0"/>
                <w:kern w:val="0"/>
                <w:sz w:val="14"/>
                <w:szCs w:val="14"/>
                <w:lang w:val="en-US" w:eastAsia="zh-CN" w:bidi="ar"/>
              </w:rPr>
              <w:t>       </w:t>
            </w:r>
            <w:bookmarkStart w:id="30" w:name="_Toc350245826"/>
            <w:r>
              <w:rPr>
                <w:rFonts w:hint="eastAsia" w:ascii="宋体" w:hAnsi="宋体" w:eastAsia="宋体" w:cs="宋体"/>
                <w:b/>
                <w:caps w:val="0"/>
                <w:spacing w:val="0"/>
                <w:kern w:val="0"/>
                <w:sz w:val="20"/>
                <w:szCs w:val="20"/>
                <w:lang w:val="en-US" w:eastAsia="zh-CN" w:bidi="ar"/>
              </w:rPr>
              <w:t>1</w:t>
            </w:r>
            <w:bookmarkEnd w:id="30"/>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31" w:name="_Toc380050038"/>
            <w:bookmarkEnd w:id="31"/>
            <w:r>
              <w:rPr>
                <w:rFonts w:hint="eastAsia" w:ascii="宋体" w:hAnsi="宋体" w:eastAsia="宋体" w:cs="宋体"/>
                <w:caps w:val="0"/>
                <w:spacing w:val="0"/>
                <w:kern w:val="0"/>
                <w:sz w:val="14"/>
                <w:szCs w:val="14"/>
                <w:lang w:val="en-US" w:eastAsia="zh-CN" w:bidi="ar"/>
              </w:rPr>
              <w:t>       </w:t>
            </w:r>
            <w:bookmarkStart w:id="32" w:name="_Toc350245827"/>
            <w:r>
              <w:rPr>
                <w:rFonts w:hint="eastAsia" w:ascii="宋体" w:hAnsi="宋体" w:eastAsia="宋体" w:cs="宋体"/>
                <w:caps w:val="0"/>
                <w:spacing w:val="0"/>
                <w:kern w:val="0"/>
                <w:sz w:val="20"/>
                <w:szCs w:val="20"/>
                <w:lang w:val="en-US" w:eastAsia="zh-CN" w:bidi="ar"/>
              </w:rPr>
              <w:t>本月出让地块</w:t>
            </w:r>
            <w:bookmarkEnd w:id="32"/>
            <w:r>
              <w:rPr>
                <w:rFonts w:hint="eastAsia" w:ascii="宋体" w:hAnsi="宋体" w:eastAsia="宋体" w:cs="宋体"/>
                <w:caps w:val="0"/>
                <w:spacing w:val="0"/>
                <w:kern w:val="0"/>
                <w:sz w:val="20"/>
                <w:szCs w:val="20"/>
                <w:lang w:val="en-US" w:eastAsia="zh-CN" w:bidi="ar"/>
              </w:rPr>
              <w:t>20宗，出让总面积为39.73万方，出让总额为5.63亿元，</w:t>
            </w:r>
            <w:r>
              <w:rPr>
                <w:rFonts w:hint="eastAsia" w:ascii="宋体" w:hAnsi="宋体" w:eastAsia="宋体" w:cs="宋体"/>
                <w:b/>
                <w:caps w:val="0"/>
                <w:spacing w:val="0"/>
                <w:kern w:val="0"/>
                <w:sz w:val="20"/>
                <w:szCs w:val="20"/>
                <w:lang w:val="en-US" w:eastAsia="zh-CN" w:bidi="ar"/>
              </w:rPr>
              <w:t>较上月大幅增加。</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4572000"/>
                  <wp:effectExtent l="0" t="0" r="7620"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067300" cy="4572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2013年5月-2014年5月宜昌城区土地供给横向对比</w:t>
            </w:r>
          </w:p>
          <w:p>
            <w:pPr>
              <w:pStyle w:val="4"/>
              <w:keepNext w:val="0"/>
              <w:keepLines w:val="0"/>
              <w:widowControl/>
              <w:suppressLineNumbers w:val="0"/>
              <w:spacing w:line="24" w:lineRule="atLeast"/>
              <w:jc w:val="left"/>
            </w:pPr>
            <w:r>
              <w:rPr>
                <w:rFonts w:hint="eastAsia" w:ascii="宋体" w:hAnsi="宋体" w:eastAsia="宋体" w:cs="宋体"/>
                <w:b/>
                <w:caps w:val="0"/>
                <w:spacing w:val="0"/>
                <w:sz w:val="14"/>
                <w:szCs w:val="14"/>
              </w:rPr>
              <w:t>                 </w:t>
            </w:r>
            <w:r>
              <w:rPr>
                <w:rFonts w:hint="eastAsia" w:ascii="宋体" w:hAnsi="宋体" w:eastAsia="宋体" w:cs="宋体"/>
                <w:b/>
                <w:caps w:val="0"/>
                <w:spacing w:val="0"/>
                <w:sz w:val="14"/>
                <w:szCs w:val="14"/>
              </w:rPr>
              <w:drawing>
                <wp:inline distT="0" distB="0" distL="114300" distR="114300">
                  <wp:extent cx="5067300" cy="1143000"/>
                  <wp:effectExtent l="0" t="0" r="7620"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067300" cy="1143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rPr>
            </w:pPr>
            <w:r>
              <w:rPr>
                <w:rFonts w:hint="eastAsia" w:ascii="宋体" w:hAnsi="宋体" w:eastAsia="宋体" w:cs="宋体"/>
                <w:b/>
                <w:caps w:val="0"/>
                <w:spacing w:val="0"/>
                <w:kern w:val="0"/>
                <w:sz w:val="20"/>
                <w:szCs w:val="20"/>
                <w:lang w:val="en-US" w:eastAsia="zh-CN" w:bidi="ar"/>
              </w:rPr>
              <w:t>       从用地性质来看，主要以工业用地为主。本月出让土地为13宗工业用地、5宗商服住宅用地、1宗住宅用地、1宗商服用地。从区域来看，主要集中在夷陵区。本月供地为夷陵区9宗、猇亭区7宗、高新区3宗、伍家岗1宗。</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rPr>
            </w:pPr>
            <w:r>
              <w:rPr>
                <w:rFonts w:hint="eastAsia" w:ascii="宋体" w:hAnsi="宋体" w:eastAsia="宋体" w:cs="宋体"/>
                <w:b/>
                <w:caps w:val="0"/>
                <w:spacing w:val="0"/>
                <w:kern w:val="0"/>
                <w:sz w:val="20"/>
                <w:szCs w:val="20"/>
                <w:lang w:val="en-US" w:eastAsia="zh-CN" w:bidi="ar"/>
              </w:rPr>
              <w:t>      本月出让地块面积环比大幅增加，同比减少64%。其中商业、住宅及商住类用地出让面积为16.21万方，环比大幅增加，同比减少了53%。本月供应市场行情有所好转，但却不及去年同期。</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rPr>
            </w:pPr>
            <w:r>
              <w:rPr>
                <w:rFonts w:hint="eastAsia" w:ascii="宋体" w:hAnsi="宋体" w:eastAsia="宋体" w:cs="宋体"/>
                <w:b/>
                <w:caps w:val="0"/>
                <w:spacing w:val="0"/>
                <w:kern w:val="0"/>
                <w:sz w:val="20"/>
                <w:szCs w:val="20"/>
                <w:lang w:val="en-US" w:eastAsia="zh-CN" w:bidi="ar"/>
              </w:rPr>
              <w:t>      本月商业、住宅及商住类用地均位于城市边缘，地理位置稍偏，预计未来放量为43.75万方。其中纯住宅用地【宜土网挂（2014）40号】位于伍家岗区城乡路与东站路交汇处，离三峡物流园较近，比及城东大道楼盘位置显偏，容积率为2.5，预计未来放量为13.11万方（地上建面）。</w:t>
            </w:r>
          </w:p>
          <w:p>
            <w:pPr>
              <w:pStyle w:val="3"/>
              <w:keepNext w:val="0"/>
              <w:keepLines w:val="0"/>
              <w:widowControl/>
              <w:suppressLineNumbers w:val="0"/>
              <w:spacing w:line="24" w:lineRule="atLeast"/>
              <w:jc w:val="left"/>
            </w:pPr>
            <w:r>
              <w:rPr>
                <w:caps w:val="0"/>
                <w:spacing w:val="0"/>
              </w:rPr>
              <w:t>   </w:t>
            </w:r>
            <w:bookmarkStart w:id="33" w:name="_Toc389951425"/>
            <w:r>
              <w:rPr>
                <w:rFonts w:hint="eastAsia" w:ascii="宋体" w:hAnsi="宋体" w:eastAsia="宋体" w:cs="宋体"/>
                <w:caps w:val="0"/>
                <w:spacing w:val="0"/>
                <w:sz w:val="20"/>
                <w:szCs w:val="20"/>
              </w:rPr>
              <w:t>二、本月土地成交分析</w:t>
            </w:r>
            <w:bookmarkEnd w:id="33"/>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rPr>
            </w:pPr>
            <w:r>
              <w:rPr>
                <w:rFonts w:hint="eastAsia" w:ascii="宋体" w:hAnsi="宋体" w:eastAsia="宋体" w:cs="宋体"/>
                <w:b/>
                <w:caps w:val="0"/>
                <w:spacing w:val="0"/>
                <w:kern w:val="0"/>
                <w:sz w:val="20"/>
                <w:szCs w:val="20"/>
                <w:lang w:val="en-US" w:eastAsia="zh-CN" w:bidi="ar"/>
              </w:rPr>
              <w:t>   本月成交地块4宗，成交总面积为8.7万方，成交总额为4543万元，成交均价为34.85万元/亩</w:t>
            </w:r>
          </w:p>
          <w:tbl>
            <w:tblPr>
              <w:tblW w:w="8306" w:type="dxa"/>
              <w:jc w:val="center"/>
              <w:tblCellSpacing w:w="0" w:type="dxa"/>
              <w:tblInd w:w="0" w:type="dxa"/>
              <w:shd w:val="clear"/>
              <w:tblLayout w:type="fixed"/>
              <w:tblCellMar>
                <w:top w:w="0" w:type="dxa"/>
                <w:left w:w="0" w:type="dxa"/>
                <w:bottom w:w="0" w:type="dxa"/>
                <w:right w:w="0" w:type="dxa"/>
              </w:tblCellMar>
            </w:tblPr>
            <w:tblGrid>
              <w:gridCol w:w="8306"/>
            </w:tblGrid>
            <w:tr>
              <w:tblPrEx>
                <w:shd w:val="clear"/>
                <w:tblLayout w:type="fixed"/>
                <w:tblCellMar>
                  <w:top w:w="0" w:type="dxa"/>
                  <w:left w:w="0" w:type="dxa"/>
                  <w:bottom w:w="0" w:type="dxa"/>
                  <w:right w:w="0" w:type="dxa"/>
                </w:tblCellMar>
              </w:tblPrEx>
              <w:trPr>
                <w:tblCellSpacing w:w="0" w:type="dxa"/>
                <w:jc w:val="center"/>
              </w:trPr>
              <w:tc>
                <w:tcPr>
                  <w:tcW w:w="8306" w:type="dxa"/>
                  <w:shd w:val="clear"/>
                  <w:noWrap/>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 </w:t>
                  </w:r>
                </w:p>
                <w:p>
                  <w:pPr>
                    <w:pStyle w:val="4"/>
                    <w:keepNext w:val="0"/>
                    <w:keepLines w:val="0"/>
                    <w:widowControl/>
                    <w:suppressLineNumbers w:val="0"/>
                    <w:jc w:val="left"/>
                  </w:pPr>
                  <w:r>
                    <w:rPr>
                      <w:rFonts w:hint="eastAsia" w:ascii="宋体" w:hAnsi="宋体" w:eastAsia="宋体" w:cs="宋体"/>
                      <w:b/>
                      <w:sz w:val="14"/>
                      <w:szCs w:val="14"/>
                    </w:rPr>
                    <w:t>             </w:t>
                  </w:r>
                  <w:r>
                    <w:rPr>
                      <w:rFonts w:hint="eastAsia" w:ascii="宋体" w:hAnsi="宋体" w:eastAsia="宋体" w:cs="宋体"/>
                      <w:b/>
                      <w:sz w:val="14"/>
                      <w:szCs w:val="14"/>
                    </w:rPr>
                    <w:drawing>
                      <wp:inline distT="0" distB="0" distL="114300" distR="114300">
                        <wp:extent cx="5067300" cy="1314450"/>
                        <wp:effectExtent l="0" t="0" r="7620" b="1143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067300" cy="1314450"/>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20"/>
                      <w:szCs w:val="20"/>
                      <w:lang w:val="en-US" w:eastAsia="zh-CN" w:bidi="ar"/>
                    </w:rPr>
                    <w:t>    2、成交土地特征</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20"/>
                      <w:szCs w:val="20"/>
                      <w:lang w:val="en-US" w:eastAsia="zh-CN" w:bidi="ar"/>
                    </w:rPr>
                    <w:t>    从用地性质来看，</w:t>
                  </w:r>
                  <w:r>
                    <w:rPr>
                      <w:rFonts w:hint="eastAsia" w:ascii="宋体" w:hAnsi="宋体" w:eastAsia="宋体" w:cs="宋体"/>
                      <w:b/>
                      <w:kern w:val="0"/>
                      <w:sz w:val="20"/>
                      <w:szCs w:val="20"/>
                      <w:lang w:val="en-US" w:eastAsia="zh-CN" w:bidi="ar"/>
                    </w:rPr>
                    <w:t>主要以商服用地为主</w:t>
                  </w:r>
                  <w:r>
                    <w:rPr>
                      <w:rFonts w:hint="eastAsia" w:ascii="宋体" w:hAnsi="宋体" w:eastAsia="宋体" w:cs="宋体"/>
                      <w:kern w:val="0"/>
                      <w:sz w:val="20"/>
                      <w:szCs w:val="20"/>
                      <w:lang w:val="en-US" w:eastAsia="zh-CN" w:bidi="ar"/>
                    </w:rPr>
                    <w:t>。本月成交地块为2宗商服用地、1宗商服住宅用地、1宗工业用地。从区域上来看，</w:t>
                  </w:r>
                  <w:r>
                    <w:rPr>
                      <w:rFonts w:hint="eastAsia" w:ascii="宋体" w:hAnsi="宋体" w:eastAsia="宋体" w:cs="宋体"/>
                      <w:b/>
                      <w:kern w:val="0"/>
                      <w:sz w:val="20"/>
                      <w:szCs w:val="20"/>
                      <w:lang w:val="en-US" w:eastAsia="zh-CN" w:bidi="ar"/>
                    </w:rPr>
                    <w:t>均位于夷陵区乡镇</w:t>
                  </w:r>
                  <w:r>
                    <w:rPr>
                      <w:rFonts w:hint="eastAsia" w:ascii="宋体" w:hAnsi="宋体" w:eastAsia="宋体" w:cs="宋体"/>
                      <w:kern w:val="0"/>
                      <w:sz w:val="20"/>
                      <w:szCs w:val="20"/>
                      <w:lang w:val="en-US" w:eastAsia="zh-CN" w:bidi="ar"/>
                    </w:rPr>
                    <w:t>。</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20"/>
                      <w:szCs w:val="20"/>
                      <w:lang w:val="en-US" w:eastAsia="zh-CN" w:bidi="ar"/>
                    </w:rPr>
                    <w:t>    本月成交总面积环比减少34%，同比减少52%。其中商业、住宅及商住用地成交面积为6.23万方，环比增加90%，同比增加58%。</w:t>
                  </w:r>
                  <w:r>
                    <w:rPr>
                      <w:rFonts w:hint="eastAsia" w:ascii="宋体" w:hAnsi="宋体" w:eastAsia="宋体" w:cs="宋体"/>
                      <w:b/>
                      <w:kern w:val="0"/>
                      <w:sz w:val="20"/>
                      <w:szCs w:val="20"/>
                      <w:lang w:val="en-US" w:eastAsia="zh-CN" w:bidi="ar"/>
                    </w:rPr>
                    <w:t>5月成交市场总体行情不佳，但是商业与住宅市场成交量大幅增加，行情好于去年同期</w:t>
                  </w:r>
                  <w:r>
                    <w:rPr>
                      <w:rFonts w:hint="eastAsia" w:ascii="宋体" w:hAnsi="宋体" w:eastAsia="宋体" w:cs="宋体"/>
                      <w:kern w:val="0"/>
                      <w:sz w:val="20"/>
                      <w:szCs w:val="20"/>
                      <w:lang w:val="en-US" w:eastAsia="zh-CN" w:bidi="ar"/>
                    </w:rPr>
                    <w:t>。</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20"/>
                      <w:szCs w:val="20"/>
                      <w:lang w:val="en-US" w:eastAsia="zh-CN" w:bidi="ar"/>
                    </w:rPr>
                    <w:t>    本月成交地块品质不高，均位于夷陵区下属乡镇。其中【夷G[2014] 30号】地块由宜昌望洋房地产有限公司以231.56元/㎡的楼面价竞得。</w:t>
                  </w:r>
                </w:p>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 </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       3、2013年1月—2014年5月土地市场成交走势</w:t>
                  </w:r>
                </w:p>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土地成交面积走势</w:t>
                  </w:r>
                </w:p>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drawing>
                      <wp:inline distT="0" distB="0" distL="114300" distR="114300">
                        <wp:extent cx="3733800" cy="5086350"/>
                        <wp:effectExtent l="0" t="0" r="0" b="381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3733800" cy="5086350"/>
                                </a:xfrm>
                                <a:prstGeom prst="rect">
                                  <a:avLst/>
                                </a:prstGeom>
                                <a:noFill/>
                                <a:ln w="9525">
                                  <a:noFill/>
                                </a:ln>
                              </pic:spPr>
                            </pic:pic>
                          </a:graphicData>
                        </a:graphic>
                      </wp:inline>
                    </w:drawing>
                  </w:r>
                </w:p>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       由上图可以看出，土地</w:t>
                  </w:r>
                  <w:r>
                    <w:rPr>
                      <w:rFonts w:hint="eastAsia" w:ascii="宋体" w:hAnsi="宋体" w:eastAsia="宋体" w:cs="宋体"/>
                      <w:b/>
                      <w:kern w:val="0"/>
                      <w:sz w:val="14"/>
                      <w:szCs w:val="14"/>
                      <w:lang w:val="en-US" w:eastAsia="zh-CN" w:bidi="ar"/>
                    </w:rPr>
                    <w:t>成交面积</w:t>
                  </w:r>
                  <w:r>
                    <w:rPr>
                      <w:rFonts w:hint="eastAsia" w:ascii="宋体" w:hAnsi="宋体" w:eastAsia="宋体" w:cs="宋体"/>
                      <w:kern w:val="0"/>
                      <w:sz w:val="14"/>
                      <w:szCs w:val="14"/>
                      <w:lang w:val="en-US" w:eastAsia="zh-CN" w:bidi="ar"/>
                    </w:rPr>
                    <w:t>在2月抬头上升之后</w:t>
                  </w:r>
                  <w:r>
                    <w:rPr>
                      <w:rFonts w:hint="eastAsia" w:ascii="宋体" w:hAnsi="宋体" w:eastAsia="宋体" w:cs="宋体"/>
                      <w:b/>
                      <w:kern w:val="0"/>
                      <w:sz w:val="14"/>
                      <w:szCs w:val="14"/>
                      <w:lang w:val="en-US" w:eastAsia="zh-CN" w:bidi="ar"/>
                    </w:rPr>
                    <w:t>一直处于滑落状态，</w:t>
                  </w:r>
                  <w:r>
                    <w:rPr>
                      <w:rFonts w:hint="eastAsia" w:ascii="宋体" w:hAnsi="宋体" w:eastAsia="宋体" w:cs="宋体"/>
                      <w:kern w:val="0"/>
                      <w:sz w:val="14"/>
                      <w:szCs w:val="14"/>
                      <w:lang w:val="en-US" w:eastAsia="zh-CN" w:bidi="ar"/>
                    </w:rPr>
                    <w:t>本月成交量环比减少了34%；成交价格方面，自上月</w:t>
                  </w:r>
                  <w:r>
                    <w:rPr>
                      <w:rFonts w:hint="eastAsia" w:ascii="宋体" w:hAnsi="宋体" w:eastAsia="宋体" w:cs="宋体"/>
                      <w:b/>
                      <w:kern w:val="0"/>
                      <w:sz w:val="14"/>
                      <w:szCs w:val="14"/>
                      <w:lang w:val="en-US" w:eastAsia="zh-CN" w:bidi="ar"/>
                    </w:rPr>
                    <w:t>下跌后，到本月开始有所反弹</w:t>
                  </w:r>
                  <w:r>
                    <w:rPr>
                      <w:rFonts w:hint="eastAsia" w:ascii="宋体" w:hAnsi="宋体" w:eastAsia="宋体" w:cs="宋体"/>
                      <w:kern w:val="0"/>
                      <w:sz w:val="14"/>
                      <w:szCs w:val="14"/>
                      <w:lang w:val="en-US" w:eastAsia="zh-CN" w:bidi="ar"/>
                    </w:rPr>
                    <w:t>。目前市场情况仍不容乐观，成交量在本月已下跌至2014年以来最低水平，而成交价格虽有所上升，但也在低位徘徊。</w:t>
                  </w:r>
                  <w:bookmarkStart w:id="34" w:name="_Toc384797624"/>
                  <w:bookmarkEnd w:id="34"/>
                  <w:bookmarkStart w:id="35" w:name="_Toc384797308"/>
                  <w:bookmarkEnd w:id="35"/>
                  <w:bookmarkStart w:id="36" w:name="_Toc384797226"/>
                  <w:bookmarkEnd w:id="36"/>
                  <w:bookmarkStart w:id="37" w:name="_Toc384796967"/>
                  <w:bookmarkEnd w:id="37"/>
                  <w:bookmarkStart w:id="38" w:name="_Toc380050040"/>
                  <w:bookmarkEnd w:id="38"/>
                  <w:bookmarkStart w:id="39" w:name="_Toc369074148"/>
                  <w:bookmarkEnd w:id="39"/>
                </w:p>
                <w:p>
                  <w:pPr>
                    <w:pStyle w:val="2"/>
                    <w:keepNext w:val="0"/>
                    <w:keepLines w:val="0"/>
                    <w:widowControl/>
                    <w:suppressLineNumbers w:val="0"/>
                    <w:jc w:val="center"/>
                  </w:pPr>
                  <w:bookmarkStart w:id="40" w:name="_Toc389951426"/>
                  <w:r>
                    <w:rPr>
                      <w:sz w:val="27"/>
                      <w:szCs w:val="27"/>
                    </w:rPr>
                    <w:t>第三部分  </w:t>
                  </w:r>
                  <w:bookmarkEnd w:id="40"/>
                  <w:r>
                    <w:rPr>
                      <w:sz w:val="27"/>
                      <w:szCs w:val="27"/>
                    </w:rPr>
                    <w:t>各区楼市表现</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     宜昌楼市主要动态：</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w:t>
                  </w:r>
                  <w:r>
                    <w:rPr>
                      <w:rFonts w:hint="eastAsia" w:ascii="宋体" w:hAnsi="宋体" w:eastAsia="宋体" w:cs="宋体"/>
                      <w:b/>
                      <w:kern w:val="0"/>
                      <w:sz w:val="14"/>
                      <w:szCs w:val="14"/>
                      <w:lang w:val="en-US" w:eastAsia="zh-CN" w:bidi="ar"/>
                    </w:rPr>
                    <w:t>本月接受认筹的项目有：</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清江润城悦邸55#楼认筹1万抵3万；</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城中金谷3期17、18#楼认筹1万抵2万；</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美联御江一品【御江座】认筹3万抵8万；</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w:t>
                  </w:r>
                  <w:r>
                    <w:rPr>
                      <w:rFonts w:hint="eastAsia" w:ascii="宋体" w:hAnsi="宋体" w:eastAsia="宋体" w:cs="宋体"/>
                      <w:b/>
                      <w:kern w:val="0"/>
                      <w:sz w:val="14"/>
                      <w:szCs w:val="14"/>
                      <w:lang w:val="en-US" w:eastAsia="zh-CN" w:bidi="ar"/>
                    </w:rPr>
                    <w:t>本月新开盘项目有：</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江山多娇5、6#楼5月10日开盘；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正泰·玫瑰园4#楼5月10日开盘；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清江尚玲珑8、10#楼5月10日开盘；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兴发广场财富金街5月11日开盘；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华鹏梧桐邑5、6#楼5月25日开盘；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w:t>
                  </w:r>
                  <w:r>
                    <w:rPr>
                      <w:rFonts w:hint="eastAsia" w:ascii="宋体" w:hAnsi="宋体" w:eastAsia="宋体" w:cs="宋体"/>
                      <w:b/>
                      <w:kern w:val="0"/>
                      <w:sz w:val="14"/>
                      <w:szCs w:val="14"/>
                      <w:lang w:val="en-US" w:eastAsia="zh-CN" w:bidi="ar"/>
                    </w:rPr>
                    <w:t>预计下月开盘项目有：</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宜化新天地3期即将开盘；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山水华庭二期6月15日开盘；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江南星城二期6月28日开盘；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山水国际12#楼预计6月中旬开盘；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美联御江一品【御江座】6月2日开盘；</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w:t>
                  </w:r>
                  <w:r>
                    <w:rPr>
                      <w:rFonts w:hint="eastAsia" w:ascii="宋体" w:hAnsi="宋体" w:eastAsia="宋体" w:cs="宋体"/>
                      <w:b/>
                      <w:kern w:val="0"/>
                      <w:sz w:val="14"/>
                      <w:szCs w:val="14"/>
                      <w:lang w:val="en-US" w:eastAsia="zh-CN" w:bidi="ar"/>
                    </w:rPr>
                    <w:t>主城区其他重点项目动态：</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美联御江一品开启产品品鉴会活动；</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宏峰上上城召开亲子运动会及举行摄影大赛；</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正泰·玫瑰园端午期间购房即享1万3千元优惠；</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kern w:val="0"/>
                      <w:sz w:val="14"/>
                      <w:szCs w:val="14"/>
                      <w:lang w:val="en-US" w:eastAsia="zh-CN" w:bidi="ar"/>
                    </w:rPr>
                    <w:t>         江山多娇联合宜昌金东方学校举办《金东方（2014）招生咨询答疑会》活动。</w:t>
                  </w:r>
                </w:p>
                <w:p>
                  <w:pPr>
                    <w:pStyle w:val="3"/>
                    <w:keepNext w:val="0"/>
                    <w:keepLines w:val="0"/>
                    <w:widowControl/>
                    <w:suppressLineNumbers w:val="0"/>
                    <w:jc w:val="left"/>
                  </w:pPr>
                  <w:bookmarkStart w:id="41" w:name="_Toc389951427"/>
                  <w:bookmarkEnd w:id="41"/>
                  <w:bookmarkStart w:id="42" w:name="_Toc384797625"/>
                  <w:bookmarkEnd w:id="42"/>
                  <w:bookmarkStart w:id="43" w:name="_Toc384797309"/>
                  <w:bookmarkEnd w:id="43"/>
                  <w:bookmarkStart w:id="44" w:name="_Toc384797227"/>
                  <w:bookmarkEnd w:id="44"/>
                  <w:bookmarkStart w:id="45" w:name="_Toc384796968"/>
                  <w:bookmarkEnd w:id="45"/>
                  <w:bookmarkStart w:id="46" w:name="_Toc380050041"/>
                  <w:bookmarkEnd w:id="46"/>
                  <w:bookmarkStart w:id="47" w:name="_Toc353178136"/>
                  <w:bookmarkEnd w:id="47"/>
                  <w:bookmarkStart w:id="48" w:name="_Toc347757549"/>
                  <w:bookmarkEnd w:id="48"/>
                  <w:r>
                    <w:t>    </w:t>
                  </w:r>
                  <w:bookmarkStart w:id="49" w:name="_Toc345167233"/>
                  <w:r>
                    <w:t>一、西陵区</w:t>
                  </w:r>
                  <w:bookmarkEnd w:id="49"/>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          1、区内主要楼盘动态</w:t>
                  </w:r>
                </w:p>
                <w:p>
                  <w:pPr>
                    <w:keepNext w:val="0"/>
                    <w:keepLines w:val="0"/>
                    <w:widowControl/>
                    <w:suppressLineNumbers w:val="0"/>
                    <w:jc w:val="left"/>
                    <w:rPr>
                      <w:rFonts w:hint="eastAsia" w:ascii="宋体" w:hAnsi="宋体" w:eastAsia="宋体" w:cs="宋体"/>
                      <w:sz w:val="14"/>
                      <w:szCs w:val="14"/>
                    </w:rPr>
                  </w:pPr>
                  <w:r>
                    <w:rPr>
                      <w:rFonts w:hint="eastAsia" w:ascii="宋体" w:hAnsi="宋体" w:eastAsia="宋体" w:cs="宋体"/>
                      <w:b/>
                      <w:kern w:val="0"/>
                      <w:sz w:val="14"/>
                      <w:szCs w:val="14"/>
                      <w:lang w:val="en-US" w:eastAsia="zh-CN" w:bidi="ar"/>
                    </w:rPr>
                    <w:t>             </w:t>
                  </w:r>
                  <w:r>
                    <w:rPr>
                      <w:rFonts w:hint="eastAsia" w:ascii="宋体" w:hAnsi="宋体" w:eastAsia="宋体" w:cs="宋体"/>
                      <w:b/>
                      <w:kern w:val="0"/>
                      <w:sz w:val="14"/>
                      <w:szCs w:val="14"/>
                      <w:lang w:val="en-US" w:eastAsia="zh-CN" w:bidi="ar"/>
                    </w:rPr>
                    <w:drawing>
                      <wp:inline distT="0" distB="0" distL="114300" distR="114300">
                        <wp:extent cx="5067300" cy="5048250"/>
                        <wp:effectExtent l="0" t="0" r="7620" b="1143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5067300" cy="5048250"/>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b/>
                      <w:sz w:val="14"/>
                      <w:szCs w:val="14"/>
                    </w:rPr>
                  </w:pPr>
                  <w:r>
                    <w:rPr>
                      <w:rFonts w:hint="eastAsia" w:ascii="宋体" w:hAnsi="宋体" w:eastAsia="宋体" w:cs="宋体"/>
                      <w:b/>
                      <w:kern w:val="0"/>
                      <w:sz w:val="20"/>
                      <w:szCs w:val="20"/>
                      <w:lang w:val="en-US" w:eastAsia="zh-CN" w:bidi="ar"/>
                    </w:rPr>
                    <w:t>        2、区内重点项目调查</w:t>
                  </w:r>
                </w:p>
                <w:p>
                  <w:pPr>
                    <w:keepNext w:val="0"/>
                    <w:keepLines w:val="0"/>
                    <w:widowControl/>
                    <w:suppressLineNumbers w:val="0"/>
                    <w:jc w:val="left"/>
                    <w:rPr>
                      <w:rFonts w:hint="eastAsia" w:ascii="宋体" w:hAnsi="宋体" w:eastAsia="宋体" w:cs="宋体"/>
                      <w:b/>
                      <w:sz w:val="14"/>
                      <w:szCs w:val="14"/>
                    </w:rPr>
                  </w:pPr>
                  <w:r>
                    <w:rPr>
                      <w:rFonts w:hint="eastAsia" w:ascii="宋体" w:hAnsi="宋体" w:eastAsia="宋体" w:cs="宋体"/>
                      <w:b/>
                      <w:kern w:val="0"/>
                      <w:sz w:val="20"/>
                      <w:szCs w:val="20"/>
                      <w:lang w:val="en-US" w:eastAsia="zh-CN" w:bidi="ar"/>
                    </w:rPr>
                    <w:t>      ◎ 项目名称：天玺</w:t>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地理位置：西陵二路与体育场路交会处</w:t>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开 发 商：湖北华祥投资发展有限公司</w:t>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项目定位：城心龙脉•半山墅区</w:t>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主广告语：俯视一座城市的仰望/270度俯瞰一城美景</w:t>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开发规模：总占地9.8万方，总建面36万方，容积率2.29，绿化率40%，建筑密度为25%，分三期开发。</w:t>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规划要点：由14栋高层和31栋联排别墅组合而成。</w:t>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主力户型：A户型  3×2×2  138.00㎡</w:t>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B户型  3×2×2  123.00㎡</w:t>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C户型  2×2×1  87.00㎡</w:t>
                  </w:r>
                </w:p>
                <w:p>
                  <w:pPr>
                    <w:pStyle w:val="4"/>
                    <w:keepNext w:val="0"/>
                    <w:keepLines w:val="0"/>
                    <w:widowControl/>
                    <w:suppressLineNumbers w:val="0"/>
                    <w:jc w:val="left"/>
                  </w:pPr>
                  <w:r>
                    <w:rPr>
                      <w:rFonts w:hint="eastAsia" w:ascii="宋体" w:hAnsi="宋体" w:eastAsia="宋体" w:cs="宋体"/>
                      <w:b/>
                      <w:sz w:val="14"/>
                      <w:szCs w:val="14"/>
                    </w:rPr>
                    <w:t>           </w:t>
                  </w:r>
                  <w:r>
                    <w:rPr>
                      <w:rFonts w:hint="eastAsia" w:ascii="宋体" w:hAnsi="宋体" w:eastAsia="宋体" w:cs="宋体"/>
                      <w:b/>
                      <w:sz w:val="14"/>
                      <w:szCs w:val="14"/>
                    </w:rPr>
                    <w:drawing>
                      <wp:inline distT="0" distB="0" distL="114300" distR="114300">
                        <wp:extent cx="5067300" cy="1390650"/>
                        <wp:effectExtent l="0" t="0" r="7620" b="11430"/>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10"/>
                                <a:stretch>
                                  <a:fillRect/>
                                </a:stretch>
                              </pic:blipFill>
                              <pic:spPr>
                                <a:xfrm>
                                  <a:off x="0" y="0"/>
                                  <a:ext cx="5067300" cy="1390650"/>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b/>
                      <w:sz w:val="14"/>
                      <w:szCs w:val="14"/>
                    </w:rPr>
                  </w:pPr>
                  <w:r>
                    <w:rPr>
                      <w:rFonts w:hint="eastAsia" w:ascii="宋体" w:hAnsi="宋体" w:eastAsia="宋体" w:cs="宋体"/>
                      <w:b/>
                      <w:kern w:val="0"/>
                      <w:sz w:val="14"/>
                      <w:szCs w:val="14"/>
                      <w:lang w:val="en-US" w:eastAsia="zh-CN" w:bidi="ar"/>
                    </w:rPr>
                    <w:t>                                  A户型                          B户型                                         C户型</w:t>
                  </w:r>
                </w:p>
                <w:p>
                  <w:pPr>
                    <w:keepNext w:val="0"/>
                    <w:keepLines w:val="0"/>
                    <w:widowControl/>
                    <w:suppressLineNumbers w:val="0"/>
                    <w:jc w:val="left"/>
                    <w:rPr>
                      <w:rFonts w:hint="eastAsia" w:ascii="宋体" w:hAnsi="宋体" w:eastAsia="宋体" w:cs="宋体"/>
                      <w:b/>
                      <w:sz w:val="14"/>
                      <w:szCs w:val="14"/>
                    </w:rPr>
                  </w:pPr>
                  <w:r>
                    <w:rPr>
                      <w:rFonts w:hint="eastAsia" w:ascii="宋体" w:hAnsi="宋体" w:eastAsia="宋体" w:cs="宋体"/>
                      <w:b/>
                      <w:kern w:val="0"/>
                      <w:sz w:val="14"/>
                      <w:szCs w:val="14"/>
                      <w:lang w:val="en-US" w:eastAsia="zh-CN" w:bidi="ar"/>
                    </w:rPr>
                    <w:t>      □ 项目动态：28#楼已于4月19日开盘，87-138㎡房源在售，目前均价7500元/㎡，其样板区即将开放。</w:t>
                  </w:r>
                </w:p>
                <w:p>
                  <w:pPr>
                    <w:keepNext w:val="0"/>
                    <w:keepLines w:val="0"/>
                    <w:widowControl/>
                    <w:suppressLineNumbers w:val="0"/>
                    <w:jc w:val="left"/>
                    <w:rPr>
                      <w:rFonts w:hint="eastAsia" w:ascii="宋体" w:hAnsi="宋体" w:eastAsia="宋体" w:cs="宋体"/>
                      <w:b/>
                      <w:sz w:val="14"/>
                      <w:szCs w:val="14"/>
                    </w:rPr>
                  </w:pPr>
                  <w:r>
                    <w:rPr>
                      <w:rFonts w:hint="eastAsia" w:ascii="宋体" w:hAnsi="宋体" w:eastAsia="宋体" w:cs="宋体"/>
                      <w:b/>
                      <w:kern w:val="0"/>
                      <w:sz w:val="14"/>
                      <w:szCs w:val="14"/>
                      <w:lang w:val="en-US" w:eastAsia="zh-CN" w:bidi="ar"/>
                    </w:rPr>
                    <w:t>      □ 项目点评：项目地处西陵老核心区，区内交通便利，生活配套设施完善，但403老区环境对生活居住品质存在一定的影响。</w:t>
                  </w:r>
                </w:p>
                <w:p>
                  <w:pPr>
                    <w:keepNext w:val="0"/>
                    <w:keepLines w:val="0"/>
                    <w:widowControl/>
                    <w:suppressLineNumbers w:val="0"/>
                    <w:jc w:val="left"/>
                    <w:rPr>
                      <w:rFonts w:hint="eastAsia" w:ascii="宋体" w:hAnsi="宋体" w:eastAsia="宋体" w:cs="宋体"/>
                      <w:b/>
                      <w:sz w:val="14"/>
                      <w:szCs w:val="14"/>
                    </w:rPr>
                  </w:pPr>
                  <w:r>
                    <w:rPr>
                      <w:rFonts w:hint="eastAsia" w:ascii="宋体" w:hAnsi="宋体" w:eastAsia="宋体" w:cs="宋体"/>
                      <w:b/>
                      <w:kern w:val="0"/>
                      <w:sz w:val="14"/>
                      <w:szCs w:val="14"/>
                      <w:lang w:val="en-US" w:eastAsia="zh-CN" w:bidi="ar"/>
                    </w:rPr>
                    <w:t> </w:t>
                  </w:r>
                </w:p>
                <w:p>
                  <w:pPr>
                    <w:pStyle w:val="3"/>
                    <w:keepNext w:val="0"/>
                    <w:keepLines w:val="0"/>
                    <w:widowControl/>
                    <w:suppressLineNumbers w:val="0"/>
                    <w:jc w:val="left"/>
                  </w:pPr>
                  <w:bookmarkStart w:id="50" w:name="_Toc389951428"/>
                  <w:r>
                    <w:rPr>
                      <w:rFonts w:hint="eastAsia" w:ascii="宋体" w:hAnsi="宋体" w:eastAsia="宋体" w:cs="宋体"/>
                      <w:sz w:val="20"/>
                      <w:szCs w:val="20"/>
                    </w:rPr>
                    <w:t>二</w:t>
                  </w:r>
                  <w:bookmarkEnd w:id="50"/>
                  <w:r>
                    <w:rPr>
                      <w:rFonts w:hint="eastAsia" w:ascii="宋体" w:hAnsi="宋体" w:eastAsia="宋体" w:cs="宋体"/>
                      <w:sz w:val="20"/>
                      <w:szCs w:val="20"/>
                    </w:rPr>
                    <w:t>、伍家区</w:t>
                  </w:r>
                </w:p>
                <w:p>
                  <w:pPr>
                    <w:keepNext w:val="0"/>
                    <w:keepLines w:val="0"/>
                    <w:widowControl/>
                    <w:suppressLineNumbers w:val="0"/>
                    <w:jc w:val="left"/>
                    <w:rPr>
                      <w:rFonts w:hint="eastAsia" w:ascii="宋体" w:hAnsi="宋体" w:eastAsia="宋体" w:cs="宋体"/>
                      <w:b/>
                      <w:sz w:val="14"/>
                      <w:szCs w:val="14"/>
                    </w:rPr>
                  </w:pPr>
                  <w:r>
                    <w:rPr>
                      <w:rFonts w:hint="eastAsia" w:ascii="宋体" w:hAnsi="宋体" w:eastAsia="宋体" w:cs="宋体"/>
                      <w:b/>
                      <w:kern w:val="0"/>
                      <w:sz w:val="14"/>
                      <w:szCs w:val="14"/>
                      <w:lang w:val="en-US" w:eastAsia="zh-CN" w:bidi="ar"/>
                    </w:rPr>
                    <w:t>1、区内主要楼盘动态</w:t>
                  </w:r>
                </w:p>
                <w:p>
                  <w:pPr>
                    <w:keepNext w:val="0"/>
                    <w:keepLines w:val="0"/>
                    <w:widowControl/>
                    <w:suppressLineNumbers w:val="0"/>
                    <w:jc w:val="left"/>
                    <w:rPr>
                      <w:rFonts w:hint="eastAsia" w:ascii="宋体" w:hAnsi="宋体" w:eastAsia="宋体" w:cs="宋体"/>
                      <w:b/>
                      <w:sz w:val="14"/>
                      <w:szCs w:val="14"/>
                    </w:rPr>
                  </w:pPr>
                  <w:r>
                    <w:rPr>
                      <w:rFonts w:hint="eastAsia" w:ascii="宋体" w:hAnsi="宋体" w:eastAsia="宋体" w:cs="宋体"/>
                      <w:b/>
                      <w:kern w:val="0"/>
                      <w:sz w:val="14"/>
                      <w:szCs w:val="14"/>
                      <w:lang w:val="en-US" w:eastAsia="zh-CN" w:bidi="ar"/>
                    </w:rPr>
                    <w:t>              </w:t>
                  </w:r>
                  <w:r>
                    <w:rPr>
                      <w:rFonts w:hint="eastAsia" w:ascii="宋体" w:hAnsi="宋体" w:eastAsia="宋体" w:cs="宋体"/>
                      <w:b/>
                      <w:kern w:val="0"/>
                      <w:sz w:val="14"/>
                      <w:szCs w:val="14"/>
                      <w:lang w:val="en-US" w:eastAsia="zh-CN" w:bidi="ar"/>
                    </w:rPr>
                    <w:drawing>
                      <wp:inline distT="0" distB="0" distL="114300" distR="114300">
                        <wp:extent cx="5067300" cy="5133975"/>
                        <wp:effectExtent l="0" t="0" r="7620" b="1905"/>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5067300" cy="513397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b/>
                      <w:sz w:val="14"/>
                      <w:szCs w:val="14"/>
                    </w:rPr>
                  </w:pPr>
                  <w:r>
                    <w:rPr>
                      <w:rFonts w:hint="eastAsia" w:ascii="宋体" w:hAnsi="宋体" w:eastAsia="宋体" w:cs="宋体"/>
                      <w:b/>
                      <w:kern w:val="0"/>
                      <w:sz w:val="14"/>
                      <w:szCs w:val="14"/>
                      <w:lang w:val="en-US" w:eastAsia="zh-CN" w:bidi="ar"/>
                    </w:rPr>
                    <w:t> </w:t>
                  </w:r>
                </w:p>
                <w:p>
                  <w:pPr>
                    <w:keepNext w:val="0"/>
                    <w:keepLines w:val="0"/>
                    <w:widowControl/>
                    <w:suppressLineNumbers w:val="0"/>
                    <w:jc w:val="left"/>
                    <w:rPr>
                      <w:rFonts w:hint="eastAsia" w:ascii="宋体" w:hAnsi="宋体" w:eastAsia="宋体" w:cs="宋体"/>
                      <w:sz w:val="14"/>
                      <w:szCs w:val="14"/>
                    </w:rPr>
                  </w:pPr>
                  <w:r>
                    <w:rPr>
                      <w:rStyle w:val="7"/>
                      <w:rFonts w:hint="eastAsia" w:ascii="宋体" w:hAnsi="宋体" w:eastAsia="宋体" w:cs="宋体"/>
                      <w:b/>
                      <w:kern w:val="0"/>
                      <w:sz w:val="14"/>
                      <w:szCs w:val="14"/>
                      <w:lang w:val="en-US" w:eastAsia="zh-CN" w:bidi="ar"/>
                    </w:rPr>
                    <w:t>      2、区内重点项目调查</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项目名称：华鹏梧桐邑</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地理位置：</w:t>
                  </w:r>
                  <w:r>
                    <w:rPr>
                      <w:rFonts w:hint="eastAsia" w:ascii="宋体" w:hAnsi="宋体" w:eastAsia="宋体" w:cs="宋体"/>
                      <w:kern w:val="0"/>
                      <w:sz w:val="24"/>
                      <w:szCs w:val="24"/>
                      <w:lang w:val="en-US" w:eastAsia="zh-CN" w:bidi="ar"/>
                    </w:rPr>
                    <w:t>伍家岗区东站路和东山大道延长线；</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开 发 商：</w:t>
                  </w:r>
                  <w:r>
                    <w:rPr>
                      <w:rFonts w:hint="eastAsia" w:ascii="宋体" w:hAnsi="宋体" w:eastAsia="宋体" w:cs="宋体"/>
                      <w:kern w:val="0"/>
                      <w:sz w:val="24"/>
                      <w:szCs w:val="24"/>
                      <w:lang w:val="en-US" w:eastAsia="zh-CN" w:bidi="ar"/>
                    </w:rPr>
                    <w:t>宜昌华鹏置业有限公司；</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开发规模：</w:t>
                  </w:r>
                  <w:r>
                    <w:rPr>
                      <w:rFonts w:hint="eastAsia" w:ascii="宋体" w:hAnsi="宋体" w:eastAsia="宋体" w:cs="宋体"/>
                      <w:kern w:val="0"/>
                      <w:sz w:val="24"/>
                      <w:szCs w:val="24"/>
                      <w:lang w:val="en-US" w:eastAsia="zh-CN" w:bidi="ar"/>
                    </w:rPr>
                    <w:t>总占地约49万方，总建面近100万方，容积率2.05，绿化率30%，可容纳4300户。项目分三期开发。</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规划要点：</w:t>
                  </w:r>
                  <w:r>
                    <w:rPr>
                      <w:rFonts w:hint="eastAsia" w:ascii="宋体" w:hAnsi="宋体" w:eastAsia="宋体" w:cs="宋体"/>
                      <w:kern w:val="0"/>
                      <w:sz w:val="24"/>
                      <w:szCs w:val="24"/>
                      <w:lang w:val="en-US" w:eastAsia="zh-CN" w:bidi="ar"/>
                    </w:rPr>
                    <w:t>由超高层、花园洋房、别墅组成；</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形象定位：</w:t>
                  </w:r>
                  <w:r>
                    <w:rPr>
                      <w:rFonts w:hint="eastAsia" w:ascii="宋体" w:hAnsi="宋体" w:eastAsia="宋体" w:cs="宋体"/>
                      <w:kern w:val="0"/>
                      <w:sz w:val="24"/>
                      <w:szCs w:val="24"/>
                      <w:lang w:val="en-US" w:eastAsia="zh-CN" w:bidi="ar"/>
                    </w:rPr>
                    <w:t>新政务中心·有闲阶级的岸；</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户型产品：</w:t>
                  </w:r>
                </w:p>
                <w:p>
                  <w:pPr>
                    <w:keepNext w:val="0"/>
                    <w:keepLines w:val="0"/>
                    <w:widowControl/>
                    <w:suppressLineNumbers w:val="0"/>
                    <w:bidi w:val="0"/>
                    <w:ind w:left="720" w:right="72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A1  2*2*1  71.5㎡   占比50%；     A2  2*2*1  118/124㎡   占比25%； </w:t>
                  </w:r>
                </w:p>
                <w:p>
                  <w:pPr>
                    <w:keepNext w:val="0"/>
                    <w:keepLines w:val="0"/>
                    <w:widowControl/>
                    <w:suppressLineNumbers w:val="0"/>
                    <w:bidi w:val="0"/>
                    <w:ind w:left="720" w:right="72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B1  3*2*2  118㎡    占比12.5%；  B2  3*2*1   92.7㎡    占比12.5%；</w:t>
                  </w:r>
                  <w:r>
                    <w:rPr>
                      <w:rStyle w:val="7"/>
                      <w:rFonts w:hint="eastAsia" w:ascii="宋体" w:hAnsi="宋体" w:eastAsia="宋体" w:cs="宋体"/>
                      <w:kern w:val="0"/>
                      <w:sz w:val="24"/>
                      <w:szCs w:val="24"/>
                      <w:lang w:val="en-US" w:eastAsia="zh-CN" w:bidi="ar"/>
                    </w:rPr>
                    <w:drawing>
                      <wp:inline distT="0" distB="0" distL="114300" distR="114300">
                        <wp:extent cx="5067300" cy="1666875"/>
                        <wp:effectExtent l="0" t="0" r="7620" b="952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5067300" cy="1666875"/>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项目动态：</w:t>
                  </w:r>
                  <w:r>
                    <w:rPr>
                      <w:rFonts w:hint="eastAsia" w:ascii="宋体" w:hAnsi="宋体" w:eastAsia="宋体" w:cs="宋体"/>
                      <w:kern w:val="0"/>
                      <w:sz w:val="24"/>
                      <w:szCs w:val="24"/>
                      <w:lang w:val="en-US" w:eastAsia="zh-CN" w:bidi="ar"/>
                    </w:rPr>
                    <w:t>5、6#楼于5月25日在五一剧场开盘，共推出528套房源，开盘售出366套；6号楼当场售罄，5#楼去化近六成，整体均价为5000元/㎡。</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项目点评：</w:t>
                  </w:r>
                  <w:r>
                    <w:rPr>
                      <w:rFonts w:hint="eastAsia" w:ascii="宋体" w:hAnsi="宋体" w:eastAsia="宋体" w:cs="宋体"/>
                      <w:kern w:val="0"/>
                      <w:sz w:val="24"/>
                      <w:szCs w:val="24"/>
                      <w:lang w:val="en-US" w:eastAsia="zh-CN" w:bidi="ar"/>
                    </w:rPr>
                    <w:t>位于未来市政府办公区，具备一定升值潜力；但就目前来看，位置比较偏僻。</w:t>
                  </w:r>
                </w:p>
                <w:p>
                  <w:pPr>
                    <w:pStyle w:val="3"/>
                    <w:keepNext w:val="0"/>
                    <w:keepLines w:val="0"/>
                    <w:widowControl/>
                    <w:suppressLineNumbers w:val="0"/>
                    <w:ind w:left="720" w:right="720"/>
                    <w:jc w:val="left"/>
                  </w:pPr>
                  <w:bookmarkStart w:id="51" w:name="_Toc389951429"/>
                  <w:bookmarkEnd w:id="51"/>
                  <w:bookmarkStart w:id="52" w:name="_Toc384797627"/>
                  <w:bookmarkEnd w:id="52"/>
                  <w:bookmarkStart w:id="53" w:name="_Toc384797311"/>
                  <w:bookmarkEnd w:id="53"/>
                  <w:bookmarkStart w:id="54" w:name="_Toc384797229"/>
                  <w:bookmarkEnd w:id="54"/>
                  <w:bookmarkStart w:id="55" w:name="_Toc384796970"/>
                  <w:bookmarkEnd w:id="55"/>
                  <w:bookmarkStart w:id="56" w:name="_Toc380050043"/>
                  <w:r>
                    <w:rPr>
                      <w:rStyle w:val="7"/>
                      <w:b/>
                    </w:rPr>
                    <w:t>三、开发区</w:t>
                  </w:r>
                  <w:bookmarkEnd w:id="56"/>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1、区内主要楼盘动态</w:t>
                  </w:r>
                </w:p>
                <w:p>
                  <w:pPr>
                    <w:keepNext w:val="0"/>
                    <w:keepLines w:val="0"/>
                    <w:widowControl/>
                    <w:suppressLineNumbers w:val="0"/>
                    <w:bidi w:val="0"/>
                    <w:ind w:left="720" w:right="72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r>
                    <w:rPr>
                      <w:rStyle w:val="7"/>
                      <w:rFonts w:hint="eastAsia" w:ascii="宋体" w:hAnsi="宋体" w:eastAsia="宋体" w:cs="宋体"/>
                      <w:kern w:val="0"/>
                      <w:sz w:val="24"/>
                      <w:szCs w:val="24"/>
                      <w:lang w:val="en-US" w:eastAsia="zh-CN" w:bidi="ar"/>
                    </w:rPr>
                    <w:drawing>
                      <wp:inline distT="0" distB="0" distL="114300" distR="114300">
                        <wp:extent cx="5067300" cy="5476875"/>
                        <wp:effectExtent l="0" t="0" r="7620" b="9525"/>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5067300" cy="5476875"/>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2、区内重点项目调查</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项目名称：水悦城</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地理位置：</w:t>
                  </w:r>
                  <w:r>
                    <w:rPr>
                      <w:rStyle w:val="7"/>
                      <w:rFonts w:hint="eastAsia" w:ascii="宋体" w:hAnsi="宋体" w:eastAsia="宋体" w:cs="宋体"/>
                      <w:kern w:val="0"/>
                      <w:sz w:val="20"/>
                      <w:szCs w:val="20"/>
                      <w:lang w:val="en-US" w:eastAsia="zh-CN" w:bidi="ar"/>
                    </w:rPr>
                    <w:t>发展大道与城东大道交汇处；</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开 发 商：</w:t>
                  </w:r>
                  <w:r>
                    <w:rPr>
                      <w:rStyle w:val="7"/>
                      <w:rFonts w:hint="eastAsia" w:ascii="宋体" w:hAnsi="宋体" w:eastAsia="宋体" w:cs="宋体"/>
                      <w:kern w:val="0"/>
                      <w:sz w:val="20"/>
                      <w:szCs w:val="20"/>
                      <w:lang w:val="en-US" w:eastAsia="zh-CN" w:bidi="ar"/>
                    </w:rPr>
                    <w:t>宜昌市东茂实业有限公司；</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开发规模：</w:t>
                  </w:r>
                  <w:r>
                    <w:rPr>
                      <w:rStyle w:val="7"/>
                      <w:rFonts w:hint="eastAsia" w:ascii="宋体" w:hAnsi="宋体" w:eastAsia="宋体" w:cs="宋体"/>
                      <w:kern w:val="0"/>
                      <w:sz w:val="20"/>
                      <w:szCs w:val="20"/>
                      <w:lang w:val="en-US" w:eastAsia="zh-CN" w:bidi="ar"/>
                    </w:rPr>
                    <w:t>占地1.6万方，容积率5.9，建筑密度60%，绿地率30%，地上建筑面积9.5万方，办公建筑面积1.98万方，规划停车位600个。</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规划要点：</w:t>
                  </w:r>
                  <w:r>
                    <w:rPr>
                      <w:rStyle w:val="7"/>
                      <w:rFonts w:hint="eastAsia" w:ascii="宋体" w:hAnsi="宋体" w:eastAsia="宋体" w:cs="宋体"/>
                      <w:kern w:val="0"/>
                      <w:sz w:val="20"/>
                      <w:szCs w:val="20"/>
                      <w:lang w:val="en-US" w:eastAsia="zh-CN" w:bidi="ar"/>
                    </w:rPr>
                    <w:t>以商业为中心，主塔楼为38层的住宅，辅塔为酒店式公寓与办公楼，地下为停车场、超市等，集餐饮、娱乐、休闲为一体的商住中心。</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形象定位：</w:t>
                  </w:r>
                  <w:r>
                    <w:rPr>
                      <w:rStyle w:val="7"/>
                      <w:rFonts w:hint="eastAsia" w:ascii="宋体" w:hAnsi="宋体" w:eastAsia="宋体" w:cs="宋体"/>
                      <w:kern w:val="0"/>
                      <w:sz w:val="20"/>
                      <w:szCs w:val="20"/>
                      <w:lang w:val="en-US" w:eastAsia="zh-CN" w:bidi="ar"/>
                    </w:rPr>
                    <w:t>水灵动•悦由心；</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项目动态：</w:t>
                  </w:r>
                  <w:r>
                    <w:rPr>
                      <w:rStyle w:val="7"/>
                      <w:rFonts w:hint="eastAsia" w:ascii="宋体" w:hAnsi="宋体" w:eastAsia="宋体" w:cs="宋体"/>
                      <w:kern w:val="0"/>
                      <w:sz w:val="20"/>
                      <w:szCs w:val="20"/>
                      <w:lang w:val="en-US" w:eastAsia="zh-CN" w:bidi="ar"/>
                    </w:rPr>
                    <w:t>水悦城目前裙楼已经封顶，购物中心正在招商，已经有企业入驻，预计购物中心将会于10月份开业；写字楼仍在建设中，现在处于预约登记阶段，将会于下半年进行相关的认筹以及开盘活动。</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项目点评：</w:t>
                  </w:r>
                  <w:r>
                    <w:rPr>
                      <w:rStyle w:val="7"/>
                      <w:rFonts w:hint="eastAsia" w:ascii="宋体" w:hAnsi="宋体" w:eastAsia="宋体" w:cs="宋体"/>
                      <w:kern w:val="0"/>
                      <w:sz w:val="20"/>
                      <w:szCs w:val="20"/>
                      <w:lang w:val="en-US" w:eastAsia="zh-CN" w:bidi="ar"/>
                    </w:rPr>
                    <w:t>项目扼守开发区交通要道，与康龙广场、泰富广场等携手共筑开发区集购物、休闲、餐饮、娱乐为一体的新兴商业核心，其号召力强，辐射范围广，业态涵盖全，建成将汇聚大量人流，树立新标杆。</w:t>
                  </w:r>
                  <w:r>
                    <w:rPr>
                      <w:rFonts w:hint="eastAsia" w:ascii="宋体" w:hAnsi="宋体" w:eastAsia="宋体" w:cs="宋体"/>
                      <w:kern w:val="0"/>
                      <w:sz w:val="24"/>
                      <w:szCs w:val="24"/>
                      <w:lang w:val="en-US" w:eastAsia="zh-CN" w:bidi="ar"/>
                    </w:rPr>
                    <w:t> </w:t>
                  </w:r>
                  <w:r>
                    <w:rPr>
                      <w:rStyle w:val="7"/>
                      <w:rFonts w:hint="eastAsia" w:ascii="宋体" w:hAnsi="宋体" w:eastAsia="宋体" w:cs="宋体"/>
                      <w:kern w:val="0"/>
                      <w:sz w:val="24"/>
                      <w:szCs w:val="24"/>
                      <w:lang w:val="en-US" w:eastAsia="zh-CN" w:bidi="ar"/>
                    </w:rPr>
                    <w:drawing>
                      <wp:inline distT="0" distB="0" distL="114300" distR="114300">
                        <wp:extent cx="4800600" cy="1571625"/>
                        <wp:effectExtent l="0" t="0" r="0" b="1333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4"/>
                                <a:stretch>
                                  <a:fillRect/>
                                </a:stretch>
                              </pic:blipFill>
                              <pic:spPr>
                                <a:xfrm>
                                  <a:off x="0" y="0"/>
                                  <a:ext cx="4800600" cy="1571625"/>
                                </a:xfrm>
                                <a:prstGeom prst="rect">
                                  <a:avLst/>
                                </a:prstGeom>
                                <a:noFill/>
                                <a:ln w="9525">
                                  <a:noFill/>
                                </a:ln>
                              </pic:spPr>
                            </pic:pic>
                          </a:graphicData>
                        </a:graphic>
                      </wp:inline>
                    </w:drawing>
                  </w:r>
                </w:p>
                <w:p>
                  <w:pPr>
                    <w:pStyle w:val="3"/>
                    <w:keepNext w:val="0"/>
                    <w:keepLines w:val="0"/>
                    <w:widowControl/>
                    <w:suppressLineNumbers w:val="0"/>
                    <w:ind w:left="720" w:right="720"/>
                    <w:jc w:val="left"/>
                  </w:pPr>
                  <w:bookmarkStart w:id="57" w:name="_Toc389951430"/>
                  <w:r>
                    <w:rPr>
                      <w:rStyle w:val="7"/>
                      <w:rFonts w:hint="eastAsia" w:ascii="宋体" w:hAnsi="宋体" w:eastAsia="宋体" w:cs="宋体"/>
                      <w:b/>
                      <w:sz w:val="20"/>
                      <w:szCs w:val="20"/>
                    </w:rPr>
                    <w:t>四、夷陵区</w:t>
                  </w:r>
                  <w:bookmarkEnd w:id="57"/>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1、区内主要楼盘动态</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drawing>
                      <wp:inline distT="0" distB="0" distL="114300" distR="114300">
                        <wp:extent cx="5067300" cy="5124450"/>
                        <wp:effectExtent l="0" t="0" r="7620" b="11430"/>
                        <wp:docPr id="1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7"/>
                                <pic:cNvPicPr>
                                  <a:picLocks noChangeAspect="1"/>
                                </pic:cNvPicPr>
                              </pic:nvPicPr>
                              <pic:blipFill>
                                <a:blip r:embed="rId15"/>
                                <a:stretch>
                                  <a:fillRect/>
                                </a:stretch>
                              </pic:blipFill>
                              <pic:spPr>
                                <a:xfrm>
                                  <a:off x="0" y="0"/>
                                  <a:ext cx="5067300" cy="5124450"/>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2、区内重点项目调查</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项目名称：清江润城·悦邸</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地理位置：</w:t>
                  </w:r>
                  <w:r>
                    <w:rPr>
                      <w:rStyle w:val="7"/>
                      <w:rFonts w:hint="eastAsia" w:ascii="宋体" w:hAnsi="宋体" w:eastAsia="宋体" w:cs="宋体"/>
                      <w:kern w:val="0"/>
                      <w:sz w:val="20"/>
                      <w:szCs w:val="20"/>
                      <w:lang w:val="en-US" w:eastAsia="zh-CN" w:bidi="ar"/>
                    </w:rPr>
                    <w:t>夷陵区发展大道99号</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开 发 商：</w:t>
                  </w:r>
                  <w:r>
                    <w:rPr>
                      <w:rStyle w:val="7"/>
                      <w:rFonts w:hint="eastAsia" w:ascii="宋体" w:hAnsi="宋体" w:eastAsia="宋体" w:cs="宋体"/>
                      <w:kern w:val="0"/>
                      <w:sz w:val="20"/>
                      <w:szCs w:val="20"/>
                      <w:lang w:val="en-US" w:eastAsia="zh-CN" w:bidi="ar"/>
                    </w:rPr>
                    <w:t>宜昌清能置业有限责任公司</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开发规模：</w:t>
                  </w:r>
                  <w:r>
                    <w:rPr>
                      <w:rStyle w:val="7"/>
                      <w:rFonts w:hint="eastAsia" w:ascii="宋体" w:hAnsi="宋体" w:eastAsia="宋体" w:cs="宋体"/>
                      <w:kern w:val="0"/>
                      <w:sz w:val="20"/>
                      <w:szCs w:val="20"/>
                      <w:lang w:val="en-US" w:eastAsia="zh-CN" w:bidi="ar"/>
                    </w:rPr>
                    <w:t>总用地面积约385.61亩，容积率2.6，总建筑面积约65万平米，绿化率为48.3%，建筑密度20.05% ，约5588户，居住近2万人。</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规划要点：</w:t>
                  </w:r>
                  <w:r>
                    <w:rPr>
                      <w:rStyle w:val="7"/>
                      <w:rFonts w:hint="eastAsia" w:ascii="宋体" w:hAnsi="宋体" w:eastAsia="宋体" w:cs="宋体"/>
                      <w:kern w:val="0"/>
                      <w:sz w:val="20"/>
                      <w:szCs w:val="20"/>
                      <w:lang w:val="en-US" w:eastAsia="zh-CN" w:bidi="ar"/>
                    </w:rPr>
                    <w:t>中高端产品为主，包括叠拼</w:t>
                  </w:r>
                  <w:r>
                    <w:rPr>
                      <w:rStyle w:val="7"/>
                      <w:rFonts w:hint="eastAsia" w:ascii="宋体" w:hAnsi="宋体" w:eastAsia="宋体" w:cs="宋体"/>
                      <w:color w:val="000000"/>
                      <w:kern w:val="0"/>
                      <w:sz w:val="24"/>
                      <w:szCs w:val="24"/>
                      <w:u w:val="none"/>
                      <w:lang w:val="en-US" w:eastAsia="zh-CN" w:bidi="ar"/>
                    </w:rPr>
                    <w:fldChar w:fldCharType="begin"/>
                  </w:r>
                  <w:r>
                    <w:rPr>
                      <w:rStyle w:val="7"/>
                      <w:rFonts w:hint="eastAsia" w:ascii="宋体" w:hAnsi="宋体" w:eastAsia="宋体" w:cs="宋体"/>
                      <w:color w:val="000000"/>
                      <w:kern w:val="0"/>
                      <w:sz w:val="24"/>
                      <w:szCs w:val="24"/>
                      <w:u w:val="none"/>
                      <w:lang w:val="en-US" w:eastAsia="zh-CN" w:bidi="ar"/>
                    </w:rPr>
                    <w:instrText xml:space="preserve"> HYPERLINK "http://bj.house.sina.com.cn/villa/" \t "http://www.zbxydc.com/_blank" </w:instrText>
                  </w:r>
                  <w:r>
                    <w:rPr>
                      <w:rStyle w:val="7"/>
                      <w:rFonts w:hint="eastAsia" w:ascii="宋体" w:hAnsi="宋体" w:eastAsia="宋体" w:cs="宋体"/>
                      <w:color w:val="000000"/>
                      <w:kern w:val="0"/>
                      <w:sz w:val="24"/>
                      <w:szCs w:val="24"/>
                      <w:u w:val="none"/>
                      <w:lang w:val="en-US" w:eastAsia="zh-CN" w:bidi="ar"/>
                    </w:rPr>
                    <w:fldChar w:fldCharType="separate"/>
                  </w:r>
                  <w:r>
                    <w:rPr>
                      <w:rStyle w:val="8"/>
                      <w:rFonts w:hint="eastAsia" w:ascii="宋体" w:hAnsi="宋体" w:eastAsia="宋体" w:cs="宋体"/>
                      <w:color w:val="000000"/>
                      <w:sz w:val="20"/>
                      <w:szCs w:val="20"/>
                      <w:u w:val="none"/>
                    </w:rPr>
                    <w:t>别墅</w:t>
                  </w:r>
                  <w:r>
                    <w:rPr>
                      <w:rStyle w:val="7"/>
                      <w:rFonts w:hint="eastAsia" w:ascii="宋体" w:hAnsi="宋体" w:eastAsia="宋体" w:cs="宋体"/>
                      <w:color w:val="000000"/>
                      <w:kern w:val="0"/>
                      <w:sz w:val="24"/>
                      <w:szCs w:val="24"/>
                      <w:u w:val="none"/>
                      <w:lang w:val="en-US" w:eastAsia="zh-CN" w:bidi="ar"/>
                    </w:rPr>
                    <w:fldChar w:fldCharType="end"/>
                  </w:r>
                  <w:r>
                    <w:rPr>
                      <w:rStyle w:val="7"/>
                      <w:rFonts w:hint="eastAsia" w:ascii="宋体" w:hAnsi="宋体" w:eastAsia="宋体" w:cs="宋体"/>
                      <w:kern w:val="0"/>
                      <w:sz w:val="20"/>
                      <w:szCs w:val="20"/>
                      <w:lang w:val="en-US" w:eastAsia="zh-CN" w:bidi="ar"/>
                    </w:rPr>
                    <w:t>、多层洋房、空中复式、高层住宅等。社区规划配套设施齐全，有运动场地、卫生站、文化活动站、健身设施、超市、菜场、餐饮、药店、储蓄所、邮电所等公共配套设施。</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形象定位：</w:t>
                  </w:r>
                  <w:r>
                    <w:rPr>
                      <w:rStyle w:val="7"/>
                      <w:rFonts w:hint="eastAsia" w:ascii="宋体" w:hAnsi="宋体" w:eastAsia="宋体" w:cs="宋体"/>
                      <w:kern w:val="0"/>
                      <w:sz w:val="20"/>
                      <w:szCs w:val="20"/>
                      <w:lang w:val="en-US" w:eastAsia="zh-CN" w:bidi="ar"/>
                    </w:rPr>
                    <w:t>经典原著欧式风情社区；</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主力户型：</w:t>
                  </w:r>
                  <w:r>
                    <w:rPr>
                      <w:rStyle w:val="7"/>
                      <w:rFonts w:hint="eastAsia" w:ascii="宋体" w:hAnsi="宋体" w:eastAsia="宋体" w:cs="宋体"/>
                      <w:kern w:val="0"/>
                      <w:sz w:val="20"/>
                      <w:szCs w:val="20"/>
                      <w:lang w:val="en-US" w:eastAsia="zh-CN" w:bidi="ar"/>
                    </w:rPr>
                    <w:t>（55#楼）   C2户型  3×2×1  106.92㎡   占比50%；</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kern w:val="0"/>
                      <w:sz w:val="20"/>
                      <w:szCs w:val="20"/>
                      <w:lang w:val="en-US" w:eastAsia="zh-CN" w:bidi="ar"/>
                    </w:rPr>
                    <w:t>                       C3户型  3×2×2  132.85㎡   占比50%；</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kern w:val="0"/>
                      <w:sz w:val="24"/>
                      <w:szCs w:val="24"/>
                      <w:lang w:val="en-US" w:eastAsia="zh-CN" w:bidi="ar"/>
                    </w:rPr>
                    <w:drawing>
                      <wp:inline distT="0" distB="0" distL="114300" distR="114300">
                        <wp:extent cx="4533900" cy="2095500"/>
                        <wp:effectExtent l="0" t="0" r="7620" b="7620"/>
                        <wp:docPr id="2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68"/>
                                <pic:cNvPicPr>
                                  <a:picLocks noChangeAspect="1"/>
                                </pic:cNvPicPr>
                              </pic:nvPicPr>
                              <pic:blipFill>
                                <a:blip r:embed="rId16"/>
                                <a:stretch>
                                  <a:fillRect/>
                                </a:stretch>
                              </pic:blipFill>
                              <pic:spPr>
                                <a:xfrm>
                                  <a:off x="0" y="0"/>
                                  <a:ext cx="4533900" cy="2095500"/>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项目动态：</w:t>
                  </w:r>
                  <w:r>
                    <w:rPr>
                      <w:rStyle w:val="7"/>
                      <w:rFonts w:hint="eastAsia" w:ascii="宋体" w:hAnsi="宋体" w:eastAsia="宋体" w:cs="宋体"/>
                      <w:kern w:val="0"/>
                      <w:sz w:val="20"/>
                      <w:szCs w:val="20"/>
                      <w:lang w:val="en-US" w:eastAsia="zh-CN" w:bidi="ar"/>
                    </w:rPr>
                    <w:t>55#楼在售中，均价5000元/㎡，购房即享1万抵3万的优惠，成功认购还可获赠价值千元青花瓷一套。</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 项目点评：</w:t>
                  </w:r>
                  <w:r>
                    <w:rPr>
                      <w:rStyle w:val="7"/>
                      <w:rFonts w:hint="eastAsia" w:ascii="宋体" w:hAnsi="宋体" w:eastAsia="宋体" w:cs="宋体"/>
                      <w:kern w:val="0"/>
                      <w:sz w:val="20"/>
                      <w:szCs w:val="20"/>
                      <w:lang w:val="en-US" w:eastAsia="zh-CN" w:bidi="ar"/>
                    </w:rPr>
                    <w:t>项目拥有雄厚的国企背景，悦邸是继前三期后的升级产品，不论是配套还是附加值都有了一定提升。</w:t>
                  </w:r>
                </w:p>
                <w:p>
                  <w:pPr>
                    <w:pStyle w:val="3"/>
                    <w:keepNext w:val="0"/>
                    <w:keepLines w:val="0"/>
                    <w:widowControl/>
                    <w:suppressLineNumbers w:val="0"/>
                    <w:ind w:left="720" w:right="720"/>
                    <w:jc w:val="left"/>
                  </w:pPr>
                  <w:r>
                    <w:rPr>
                      <w:rStyle w:val="7"/>
                      <w:b/>
                    </w:rPr>
                    <w:t> </w:t>
                  </w:r>
                  <w:bookmarkStart w:id="58" w:name="_Toc389951431"/>
                  <w:r>
                    <w:rPr>
                      <w:rStyle w:val="7"/>
                      <w:rFonts w:hint="eastAsia" w:ascii="宋体" w:hAnsi="宋体" w:eastAsia="宋体" w:cs="宋体"/>
                      <w:b/>
                      <w:sz w:val="20"/>
                      <w:szCs w:val="20"/>
                    </w:rPr>
                    <w:t>五、猇亭区</w:t>
                  </w:r>
                  <w:bookmarkEnd w:id="58"/>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区内主要在售楼盘动态：</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4"/>
                      <w:szCs w:val="24"/>
                      <w:lang w:val="en-US" w:eastAsia="zh-CN" w:bidi="ar"/>
                    </w:rPr>
                    <w:t>   </w:t>
                  </w:r>
                  <w:r>
                    <w:rPr>
                      <w:rStyle w:val="7"/>
                      <w:rFonts w:hint="eastAsia" w:ascii="宋体" w:hAnsi="宋体" w:eastAsia="宋体" w:cs="宋体"/>
                      <w:b/>
                      <w:kern w:val="0"/>
                      <w:sz w:val="24"/>
                      <w:szCs w:val="24"/>
                      <w:lang w:val="en-US" w:eastAsia="zh-CN" w:bidi="ar"/>
                    </w:rPr>
                    <w:drawing>
                      <wp:inline distT="0" distB="0" distL="114300" distR="114300">
                        <wp:extent cx="5067300" cy="2381250"/>
                        <wp:effectExtent l="0" t="0" r="7620" b="11430"/>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17"/>
                                <a:stretch>
                                  <a:fillRect/>
                                </a:stretch>
                              </pic:blipFill>
                              <pic:spPr>
                                <a:xfrm>
                                  <a:off x="0" y="0"/>
                                  <a:ext cx="5067300" cy="2381250"/>
                                </a:xfrm>
                                <a:prstGeom prst="rect">
                                  <a:avLst/>
                                </a:prstGeom>
                                <a:noFill/>
                                <a:ln w="9525">
                                  <a:noFill/>
                                </a:ln>
                              </pic:spPr>
                            </pic:pic>
                          </a:graphicData>
                        </a:graphic>
                      </wp:inline>
                    </w:drawing>
                  </w:r>
                </w:p>
                <w:p>
                  <w:pPr>
                    <w:pStyle w:val="3"/>
                    <w:keepNext w:val="0"/>
                    <w:keepLines w:val="0"/>
                    <w:widowControl/>
                    <w:suppressLineNumbers w:val="0"/>
                    <w:ind w:left="720" w:right="720"/>
                    <w:jc w:val="left"/>
                  </w:pPr>
                  <w:bookmarkStart w:id="59" w:name="_Toc389951432"/>
                  <w:bookmarkEnd w:id="59"/>
                  <w:bookmarkStart w:id="60" w:name="_Toc384797630"/>
                  <w:bookmarkEnd w:id="60"/>
                  <w:bookmarkStart w:id="61" w:name="_Toc384797314"/>
                  <w:bookmarkEnd w:id="61"/>
                  <w:bookmarkStart w:id="62" w:name="_Toc384797232"/>
                  <w:bookmarkEnd w:id="62"/>
                  <w:bookmarkStart w:id="63" w:name="_Toc384796973"/>
                  <w:bookmarkEnd w:id="63"/>
                  <w:r>
                    <w:rPr>
                      <w:rStyle w:val="7"/>
                      <w:b/>
                    </w:rPr>
                    <w:t> </w:t>
                  </w:r>
                  <w:bookmarkStart w:id="64" w:name="_Toc380050046"/>
                  <w:r>
                    <w:rPr>
                      <w:rStyle w:val="7"/>
                      <w:rFonts w:hint="eastAsia" w:ascii="宋体" w:hAnsi="宋体" w:eastAsia="宋体" w:cs="宋体"/>
                      <w:b/>
                      <w:sz w:val="20"/>
                      <w:szCs w:val="20"/>
                    </w:rPr>
                    <w:t>六、点军区</w:t>
                  </w:r>
                  <w:bookmarkEnd w:id="64"/>
                </w:p>
                <w:p>
                  <w:pPr>
                    <w:keepNext w:val="0"/>
                    <w:keepLines w:val="0"/>
                    <w:widowControl/>
                    <w:suppressLineNumbers w:val="0"/>
                    <w:bidi w:val="0"/>
                    <w:ind w:left="720" w:right="72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bookmarkStart w:id="65" w:name="_Toc384797315"/>
                  <w:r>
                    <w:rPr>
                      <w:rStyle w:val="7"/>
                      <w:rFonts w:hint="eastAsia" w:ascii="宋体" w:hAnsi="宋体" w:eastAsia="宋体" w:cs="宋体"/>
                      <w:b/>
                      <w:kern w:val="0"/>
                      <w:sz w:val="20"/>
                      <w:szCs w:val="20"/>
                      <w:lang w:val="en-US" w:eastAsia="zh-CN" w:bidi="ar"/>
                    </w:rPr>
                    <w:t>区内主要在售楼盘动态：</w:t>
                  </w:r>
                  <w:bookmarkEnd w:id="65"/>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kern w:val="0"/>
                      <w:sz w:val="24"/>
                      <w:szCs w:val="24"/>
                      <w:lang w:val="en-US" w:eastAsia="zh-CN" w:bidi="ar"/>
                    </w:rPr>
                    <w:drawing>
                      <wp:inline distT="0" distB="0" distL="114300" distR="114300">
                        <wp:extent cx="5067300" cy="1847850"/>
                        <wp:effectExtent l="0" t="0" r="7620" b="11430"/>
                        <wp:docPr id="2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70"/>
                                <pic:cNvPicPr>
                                  <a:picLocks noChangeAspect="1"/>
                                </pic:cNvPicPr>
                              </pic:nvPicPr>
                              <pic:blipFill>
                                <a:blip r:embed="rId18"/>
                                <a:stretch>
                                  <a:fillRect/>
                                </a:stretch>
                              </pic:blipFill>
                              <pic:spPr>
                                <a:xfrm>
                                  <a:off x="0" y="0"/>
                                  <a:ext cx="5067300" cy="1847850"/>
                                </a:xfrm>
                                <a:prstGeom prst="rect">
                                  <a:avLst/>
                                </a:prstGeom>
                                <a:noFill/>
                                <a:ln w="9525">
                                  <a:noFill/>
                                </a:ln>
                              </pic:spPr>
                            </pic:pic>
                          </a:graphicData>
                        </a:graphic>
                      </wp:inline>
                    </w:drawing>
                  </w:r>
                </w:p>
                <w:p>
                  <w:pPr>
                    <w:pStyle w:val="2"/>
                    <w:keepNext w:val="0"/>
                    <w:keepLines w:val="0"/>
                    <w:widowControl/>
                    <w:suppressLineNumbers w:val="0"/>
                    <w:ind w:left="720" w:right="720"/>
                    <w:jc w:val="center"/>
                  </w:pPr>
                  <w:bookmarkStart w:id="66" w:name="_Toc389951433"/>
                  <w:bookmarkEnd w:id="66"/>
                  <w:bookmarkStart w:id="67" w:name="_Toc384797631"/>
                  <w:bookmarkEnd w:id="67"/>
                  <w:bookmarkStart w:id="68" w:name="_Toc384797316"/>
                  <w:bookmarkEnd w:id="68"/>
                  <w:bookmarkStart w:id="69" w:name="_Toc384797233"/>
                  <w:bookmarkEnd w:id="69"/>
                  <w:bookmarkStart w:id="70" w:name="_Toc384796974"/>
                  <w:r>
                    <w:rPr>
                      <w:rStyle w:val="7"/>
                      <w:rFonts w:hint="eastAsia" w:ascii="宋体" w:hAnsi="宋体" w:eastAsia="宋体" w:cs="宋体"/>
                      <w:b/>
                      <w:sz w:val="20"/>
                      <w:szCs w:val="20"/>
                    </w:rPr>
                    <w:t>第四部分  </w:t>
                  </w:r>
                  <w:bookmarkEnd w:id="70"/>
                  <w:r>
                    <w:rPr>
                      <w:rStyle w:val="7"/>
                      <w:rFonts w:hint="eastAsia" w:ascii="宋体" w:hAnsi="宋体" w:eastAsia="宋体" w:cs="宋体"/>
                      <w:b/>
                      <w:sz w:val="20"/>
                      <w:szCs w:val="20"/>
                    </w:rPr>
                    <w:t>媒体监测</w:t>
                  </w:r>
                </w:p>
                <w:p>
                  <w:pPr>
                    <w:pStyle w:val="3"/>
                    <w:keepNext w:val="0"/>
                    <w:keepLines w:val="0"/>
                    <w:widowControl/>
                    <w:suppressLineNumbers w:val="0"/>
                    <w:ind w:left="720" w:right="720"/>
                    <w:jc w:val="left"/>
                  </w:pPr>
                  <w:bookmarkStart w:id="71" w:name="_Toc389951434"/>
                  <w:bookmarkEnd w:id="71"/>
                  <w:bookmarkStart w:id="72" w:name="_Toc380050048"/>
                  <w:bookmarkEnd w:id="72"/>
                  <w:bookmarkStart w:id="73" w:name="_Toc353178142"/>
                  <w:bookmarkEnd w:id="73"/>
                  <w:bookmarkStart w:id="74" w:name="_Toc347757555"/>
                  <w:bookmarkEnd w:id="74"/>
                  <w:bookmarkStart w:id="75" w:name="_Toc345167239"/>
                  <w:r>
                    <w:rPr>
                      <w:rStyle w:val="7"/>
                      <w:rFonts w:hint="eastAsia" w:ascii="宋体" w:hAnsi="宋体" w:eastAsia="宋体" w:cs="宋体"/>
                      <w:b/>
                      <w:sz w:val="20"/>
                      <w:szCs w:val="20"/>
                    </w:rPr>
                    <w:t>一、纸媒投放情况</w:t>
                  </w:r>
                  <w:bookmarkEnd w:id="75"/>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kern w:val="0"/>
                      <w:sz w:val="20"/>
                      <w:szCs w:val="20"/>
                      <w:lang w:val="en-US" w:eastAsia="zh-CN" w:bidi="ar"/>
                    </w:rPr>
                    <w:t>本月截止到31日，共有32个地产项目投放报纸广告，共计100篇。本月广告投放量较大的主要有宜化新天地、江山多娇、恒大绿洲、清江尚玲珑、美联御江一品等楼盘。</w:t>
                  </w:r>
                </w:p>
                <w:p>
                  <w:pPr>
                    <w:pStyle w:val="3"/>
                    <w:keepNext w:val="0"/>
                    <w:keepLines w:val="0"/>
                    <w:widowControl/>
                    <w:suppressLineNumbers w:val="0"/>
                    <w:ind w:left="720" w:right="720"/>
                    <w:jc w:val="left"/>
                  </w:pPr>
                  <w:bookmarkStart w:id="76" w:name="_Toc389951435"/>
                  <w:bookmarkEnd w:id="76"/>
                  <w:bookmarkStart w:id="77" w:name="_Toc380050049"/>
                  <w:bookmarkEnd w:id="77"/>
                  <w:bookmarkStart w:id="78" w:name="_Toc353178143"/>
                  <w:bookmarkEnd w:id="78"/>
                  <w:bookmarkStart w:id="79" w:name="_Toc347757556"/>
                  <w:bookmarkEnd w:id="79"/>
                  <w:bookmarkStart w:id="80" w:name="_Toc345167240"/>
                  <w:r>
                    <w:rPr>
                      <w:rStyle w:val="7"/>
                      <w:rFonts w:hint="eastAsia" w:ascii="宋体" w:hAnsi="宋体" w:eastAsia="宋体" w:cs="宋体"/>
                      <w:b/>
                      <w:sz w:val="20"/>
                      <w:szCs w:val="20"/>
                    </w:rPr>
                    <w:t>二、纸媒投放数据监测</w:t>
                  </w:r>
                  <w:bookmarkEnd w:id="80"/>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1、报广投放时间段分析</w:t>
                  </w:r>
                </w:p>
                <w:p>
                  <w:pPr>
                    <w:keepNext w:val="0"/>
                    <w:keepLines w:val="0"/>
                    <w:widowControl/>
                    <w:suppressLineNumbers w:val="0"/>
                    <w:bidi w:val="0"/>
                    <w:ind w:left="720" w:right="720"/>
                    <w:jc w:val="center"/>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本月投放量统计</w:t>
                  </w:r>
                </w:p>
                <w:p>
                  <w:pPr>
                    <w:pStyle w:val="4"/>
                    <w:keepNext w:val="0"/>
                    <w:keepLines w:val="0"/>
                    <w:widowControl/>
                    <w:suppressLineNumbers w:val="0"/>
                    <w:ind w:left="720" w:right="720"/>
                    <w:jc w:val="left"/>
                  </w:pPr>
                  <w:r>
                    <w:rPr>
                      <w:rFonts w:hint="eastAsia" w:ascii="宋体" w:hAnsi="宋体" w:eastAsia="宋体" w:cs="宋体"/>
                      <w:b/>
                      <w:sz w:val="24"/>
                      <w:szCs w:val="24"/>
                    </w:rPr>
                    <w:t>                </w:t>
                  </w:r>
                  <w:r>
                    <w:rPr>
                      <w:rFonts w:hint="eastAsia" w:ascii="宋体" w:hAnsi="宋体" w:eastAsia="宋体" w:cs="宋体"/>
                      <w:b/>
                      <w:sz w:val="24"/>
                      <w:szCs w:val="24"/>
                    </w:rPr>
                    <w:drawing>
                      <wp:inline distT="0" distB="0" distL="114300" distR="114300">
                        <wp:extent cx="2590800" cy="1600200"/>
                        <wp:effectExtent l="0" t="0" r="0" b="0"/>
                        <wp:docPr id="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19"/>
                                <a:stretch>
                                  <a:fillRect/>
                                </a:stretch>
                              </pic:blipFill>
                              <pic:spPr>
                                <a:xfrm>
                                  <a:off x="0" y="0"/>
                                  <a:ext cx="2590800" cy="1600200"/>
                                </a:xfrm>
                                <a:prstGeom prst="rect">
                                  <a:avLst/>
                                </a:prstGeom>
                                <a:noFill/>
                                <a:ln w="9525">
                                  <a:noFill/>
                                </a:ln>
                              </pic:spPr>
                            </pic:pic>
                          </a:graphicData>
                        </a:graphic>
                      </wp:inline>
                    </w:drawing>
                  </w:r>
                  <w:r>
                    <w:rPr>
                      <w:rFonts w:hint="eastAsia" w:ascii="宋体" w:hAnsi="宋体" w:eastAsia="宋体" w:cs="宋体"/>
                      <w:b/>
                      <w:sz w:val="24"/>
                      <w:szCs w:val="24"/>
                    </w:rPr>
                    <w:t> </w:t>
                  </w:r>
                  <w:r>
                    <w:rPr>
                      <w:rFonts w:hint="eastAsia" w:ascii="宋体" w:hAnsi="宋体" w:eastAsia="宋体" w:cs="宋体"/>
                      <w:b/>
                      <w:sz w:val="24"/>
                      <w:szCs w:val="24"/>
                    </w:rPr>
                    <w:drawing>
                      <wp:inline distT="0" distB="0" distL="114300" distR="114300">
                        <wp:extent cx="2676525" cy="1600200"/>
                        <wp:effectExtent l="0" t="0" r="5715" b="0"/>
                        <wp:docPr id="1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72"/>
                                <pic:cNvPicPr>
                                  <a:picLocks noChangeAspect="1"/>
                                </pic:cNvPicPr>
                              </pic:nvPicPr>
                              <pic:blipFill>
                                <a:blip r:embed="rId20"/>
                                <a:stretch>
                                  <a:fillRect/>
                                </a:stretch>
                              </pic:blipFill>
                              <pic:spPr>
                                <a:xfrm>
                                  <a:off x="0" y="0"/>
                                  <a:ext cx="2676525" cy="1600200"/>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kern w:val="0"/>
                      <w:sz w:val="20"/>
                      <w:szCs w:val="20"/>
                      <w:lang w:val="en-US" w:eastAsia="zh-CN" w:bidi="ar"/>
                    </w:rPr>
                    <w:t>     本月三峡商报投放量位居榜首，共41篇，占纸媒总投放量的41%。三峡晚报次之，共40篇，占纸媒总投放量的40%；三峡日报共19篇，占纸媒总投放量的19%。投放版面主要集中在半版，其占比为42%，投放广告较多的楼盘主要有宜化·新天地、江山多娇、恒大绿洲等；整版投放量占比39%，半版投放占比19%。</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2、投放媒体及版面分析</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                                 投放媒体及版面统计</w:t>
                  </w:r>
                </w:p>
                <w:p>
                  <w:pPr>
                    <w:pStyle w:val="4"/>
                    <w:keepNext w:val="0"/>
                    <w:keepLines w:val="0"/>
                    <w:widowControl/>
                    <w:suppressLineNumbers w:val="0"/>
                    <w:ind w:left="720" w:right="720"/>
                    <w:jc w:val="left"/>
                  </w:pPr>
                  <w:r>
                    <w:rPr>
                      <w:rFonts w:hint="eastAsia" w:ascii="宋体" w:hAnsi="宋体" w:eastAsia="宋体" w:cs="宋体"/>
                      <w:b/>
                      <w:sz w:val="24"/>
                      <w:szCs w:val="24"/>
                    </w:rPr>
                    <w:t>               </w:t>
                  </w:r>
                  <w:r>
                    <w:rPr>
                      <w:rFonts w:hint="eastAsia" w:ascii="宋体" w:hAnsi="宋体" w:eastAsia="宋体" w:cs="宋体"/>
                      <w:b/>
                      <w:sz w:val="24"/>
                      <w:szCs w:val="24"/>
                    </w:rPr>
                    <w:drawing>
                      <wp:inline distT="0" distB="0" distL="114300" distR="114300">
                        <wp:extent cx="2390775" cy="1466850"/>
                        <wp:effectExtent l="0" t="0" r="1905" b="11430"/>
                        <wp:docPr id="1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73"/>
                                <pic:cNvPicPr>
                                  <a:picLocks noChangeAspect="1"/>
                                </pic:cNvPicPr>
                              </pic:nvPicPr>
                              <pic:blipFill>
                                <a:blip r:embed="rId21"/>
                                <a:stretch>
                                  <a:fillRect/>
                                </a:stretch>
                              </pic:blipFill>
                              <pic:spPr>
                                <a:xfrm>
                                  <a:off x="0" y="0"/>
                                  <a:ext cx="2390775" cy="1466850"/>
                                </a:xfrm>
                                <a:prstGeom prst="rect">
                                  <a:avLst/>
                                </a:prstGeom>
                                <a:noFill/>
                                <a:ln w="9525">
                                  <a:noFill/>
                                </a:ln>
                              </pic:spPr>
                            </pic:pic>
                          </a:graphicData>
                        </a:graphic>
                      </wp:inline>
                    </w:drawing>
                  </w:r>
                  <w:r>
                    <w:rPr>
                      <w:rFonts w:hint="eastAsia" w:ascii="宋体" w:hAnsi="宋体" w:eastAsia="宋体" w:cs="宋体"/>
                      <w:b/>
                      <w:sz w:val="24"/>
                      <w:szCs w:val="24"/>
                    </w:rPr>
                    <w:t> </w:t>
                  </w:r>
                  <w:r>
                    <w:rPr>
                      <w:rFonts w:hint="eastAsia" w:ascii="宋体" w:hAnsi="宋体" w:eastAsia="宋体" w:cs="宋体"/>
                      <w:b/>
                      <w:sz w:val="24"/>
                      <w:szCs w:val="24"/>
                    </w:rPr>
                    <w:drawing>
                      <wp:inline distT="0" distB="0" distL="114300" distR="114300">
                        <wp:extent cx="2447925" cy="1466850"/>
                        <wp:effectExtent l="0" t="0" r="5715" b="11430"/>
                        <wp:docPr id="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IMG_274"/>
                                <pic:cNvPicPr>
                                  <a:picLocks noChangeAspect="1"/>
                                </pic:cNvPicPr>
                              </pic:nvPicPr>
                              <pic:blipFill>
                                <a:blip r:embed="rId22"/>
                                <a:stretch>
                                  <a:fillRect/>
                                </a:stretch>
                              </pic:blipFill>
                              <pic:spPr>
                                <a:xfrm>
                                  <a:off x="0" y="0"/>
                                  <a:ext cx="2447925" cy="1466850"/>
                                </a:xfrm>
                                <a:prstGeom prst="rect">
                                  <a:avLst/>
                                </a:prstGeom>
                                <a:noFill/>
                                <a:ln w="9525">
                                  <a:noFill/>
                                </a:ln>
                              </pic:spPr>
                            </pic:pic>
                          </a:graphicData>
                        </a:graphic>
                      </wp:inline>
                    </w:drawing>
                  </w:r>
                </w:p>
                <w:p>
                  <w:pPr>
                    <w:keepNext w:val="0"/>
                    <w:keepLines w:val="0"/>
                    <w:widowControl/>
                    <w:suppressLineNumbers w:val="0"/>
                    <w:bidi w:val="0"/>
                    <w:ind w:left="720" w:right="72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p>
                  <w:pPr>
                    <w:keepNext w:val="0"/>
                    <w:keepLines w:val="0"/>
                    <w:widowControl/>
                    <w:suppressLineNumbers w:val="0"/>
                    <w:bidi w:val="0"/>
                    <w:ind w:left="720" w:right="720"/>
                    <w:jc w:val="left"/>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3、项目投放量分析</w:t>
                  </w:r>
                </w:p>
                <w:p>
                  <w:pPr>
                    <w:keepNext w:val="0"/>
                    <w:keepLines w:val="0"/>
                    <w:widowControl/>
                    <w:suppressLineNumbers w:val="0"/>
                    <w:bidi w:val="0"/>
                    <w:ind w:left="720" w:right="720"/>
                    <w:jc w:val="center"/>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各楼盘本月纸媒投放量对比</w:t>
                  </w:r>
                </w:p>
                <w:p>
                  <w:pPr>
                    <w:pStyle w:val="4"/>
                    <w:keepNext w:val="0"/>
                    <w:keepLines w:val="0"/>
                    <w:widowControl/>
                    <w:suppressLineNumbers w:val="0"/>
                    <w:ind w:left="720" w:right="720"/>
                    <w:jc w:val="left"/>
                  </w:pPr>
                  <w:r>
                    <w:rPr>
                      <w:rFonts w:hint="eastAsia" w:ascii="宋体" w:hAnsi="宋体" w:eastAsia="宋体" w:cs="宋体"/>
                      <w:b/>
                      <w:sz w:val="24"/>
                      <w:szCs w:val="24"/>
                    </w:rPr>
                    <w:t>              </w:t>
                  </w:r>
                  <w:r>
                    <w:rPr>
                      <w:rFonts w:hint="eastAsia" w:ascii="宋体" w:hAnsi="宋体" w:eastAsia="宋体" w:cs="宋体"/>
                      <w:b/>
                      <w:sz w:val="24"/>
                      <w:szCs w:val="24"/>
                    </w:rPr>
                    <w:drawing>
                      <wp:inline distT="0" distB="0" distL="114300" distR="114300">
                        <wp:extent cx="4267200" cy="2486025"/>
                        <wp:effectExtent l="0" t="0" r="0" b="13335"/>
                        <wp:docPr id="1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IMG_275"/>
                                <pic:cNvPicPr>
                                  <a:picLocks noChangeAspect="1"/>
                                </pic:cNvPicPr>
                              </pic:nvPicPr>
                              <pic:blipFill>
                                <a:blip r:embed="rId23"/>
                                <a:stretch>
                                  <a:fillRect/>
                                </a:stretch>
                              </pic:blipFill>
                              <pic:spPr>
                                <a:xfrm>
                                  <a:off x="0" y="0"/>
                                  <a:ext cx="4267200" cy="2486025"/>
                                </a:xfrm>
                                <a:prstGeom prst="rect">
                                  <a:avLst/>
                                </a:prstGeom>
                                <a:noFill/>
                                <a:ln w="9525">
                                  <a:noFill/>
                                </a:ln>
                              </pic:spPr>
                            </pic:pic>
                          </a:graphicData>
                        </a:graphic>
                      </wp:inline>
                    </w:drawing>
                  </w:r>
                </w:p>
                <w:p>
                  <w:pPr>
                    <w:keepNext w:val="0"/>
                    <w:keepLines w:val="0"/>
                    <w:widowControl/>
                    <w:suppressLineNumbers w:val="0"/>
                    <w:bidi w:val="0"/>
                    <w:ind w:left="720" w:right="720"/>
                    <w:jc w:val="center"/>
                    <w:rPr>
                      <w:rFonts w:hint="eastAsia" w:ascii="宋体" w:hAnsi="宋体" w:eastAsia="宋体" w:cs="宋体"/>
                      <w:sz w:val="24"/>
                      <w:szCs w:val="24"/>
                    </w:rPr>
                  </w:pPr>
                  <w:r>
                    <w:rPr>
                      <w:rStyle w:val="7"/>
                      <w:rFonts w:hint="eastAsia" w:ascii="宋体" w:hAnsi="宋体" w:eastAsia="宋体" w:cs="宋体"/>
                      <w:b/>
                      <w:kern w:val="0"/>
                      <w:sz w:val="20"/>
                      <w:szCs w:val="20"/>
                      <w:lang w:val="en-US" w:eastAsia="zh-CN" w:bidi="ar"/>
                    </w:rPr>
                    <w:t>纸媒投放TOP 1、2、3：宜化·新天地、江山多娇、美联御江一品</w:t>
                  </w:r>
                </w:p>
                <w:p>
                  <w:pPr>
                    <w:pStyle w:val="4"/>
                    <w:keepNext w:val="0"/>
                    <w:keepLines w:val="0"/>
                    <w:widowControl/>
                    <w:suppressLineNumbers w:val="0"/>
                    <w:ind w:left="720" w:right="720"/>
                    <w:jc w:val="left"/>
                  </w:pPr>
                  <w:r>
                    <w:rPr>
                      <w:rFonts w:hint="eastAsia" w:ascii="宋体" w:hAnsi="宋体" w:eastAsia="宋体" w:cs="宋体"/>
                      <w:b/>
                      <w:sz w:val="24"/>
                      <w:szCs w:val="24"/>
                    </w:rPr>
                    <w:t>             </w:t>
                  </w:r>
                  <w:r>
                    <w:rPr>
                      <w:rFonts w:hint="eastAsia" w:ascii="宋体" w:hAnsi="宋体" w:eastAsia="宋体" w:cs="宋体"/>
                      <w:b/>
                      <w:sz w:val="24"/>
                      <w:szCs w:val="24"/>
                    </w:rPr>
                    <w:drawing>
                      <wp:inline distT="0" distB="0" distL="114300" distR="114300">
                        <wp:extent cx="5067300" cy="1276350"/>
                        <wp:effectExtent l="0" t="0" r="7620" b="3810"/>
                        <wp:docPr id="2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76"/>
                                <pic:cNvPicPr>
                                  <a:picLocks noChangeAspect="1"/>
                                </pic:cNvPicPr>
                              </pic:nvPicPr>
                              <pic:blipFill>
                                <a:blip r:embed="rId24"/>
                                <a:stretch>
                                  <a:fillRect/>
                                </a:stretch>
                              </pic:blipFill>
                              <pic:spPr>
                                <a:xfrm>
                                  <a:off x="0" y="0"/>
                                  <a:ext cx="5067300" cy="1276350"/>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b/>
                      <w:sz w:val="24"/>
                      <w:szCs w:val="24"/>
                    </w:rPr>
                  </w:pPr>
                  <w:r>
                    <w:rPr>
                      <w:rStyle w:val="7"/>
                      <w:rFonts w:hint="eastAsia" w:ascii="宋体" w:hAnsi="宋体" w:eastAsia="宋体" w:cs="宋体"/>
                      <w:b/>
                      <w:kern w:val="0"/>
                      <w:sz w:val="20"/>
                      <w:szCs w:val="20"/>
                      <w:lang w:val="en-US" w:eastAsia="zh-CN" w:bidi="ar"/>
                    </w:rPr>
                    <w:t>   本月宜化新天地共计投放报广9篇，均是半版，主要为三期开盘后强销做宣传；江山多娇共投放报广8篇，半版居多，其联合宜昌金东方学校举办《金东方（2014）招生咨询答疑会》活动，为项目增加来访。美联御江一品共投放报广6篇，全为整版，主要是御江座认筹信息。</w:t>
                  </w:r>
                </w:p>
                <w:p>
                  <w:pPr>
                    <w:keepNext w:val="0"/>
                    <w:keepLines w:val="0"/>
                    <w:widowControl/>
                    <w:suppressLineNumbers w:val="0"/>
                    <w:bidi w:val="0"/>
                    <w:ind w:left="720" w:right="720"/>
                    <w:jc w:val="center"/>
                    <w:rPr>
                      <w:rFonts w:hint="eastAsia" w:ascii="宋体" w:hAnsi="宋体" w:eastAsia="宋体" w:cs="宋体"/>
                      <w:b/>
                      <w:sz w:val="24"/>
                      <w:szCs w:val="24"/>
                    </w:rPr>
                  </w:pPr>
                  <w:r>
                    <w:rPr>
                      <w:rStyle w:val="7"/>
                      <w:rFonts w:hint="eastAsia" w:ascii="宋体" w:hAnsi="宋体" w:eastAsia="宋体" w:cs="宋体"/>
                      <w:b/>
                      <w:kern w:val="0"/>
                      <w:sz w:val="20"/>
                      <w:szCs w:val="20"/>
                      <w:lang w:val="en-US" w:eastAsia="zh-CN" w:bidi="ar"/>
                    </w:rPr>
                    <w:t>纸媒投放TOP 4、5、6：正泰玫瑰园、华鹏梧桐邑、山水华庭</w:t>
                  </w:r>
                </w:p>
                <w:p>
                  <w:pPr>
                    <w:pStyle w:val="4"/>
                    <w:keepNext w:val="0"/>
                    <w:keepLines w:val="0"/>
                    <w:widowControl/>
                    <w:suppressLineNumbers w:val="0"/>
                    <w:ind w:left="720" w:right="720"/>
                    <w:jc w:val="left"/>
                  </w:pPr>
                  <w:r>
                    <w:rPr>
                      <w:rFonts w:hint="eastAsia" w:ascii="宋体" w:hAnsi="宋体" w:eastAsia="宋体" w:cs="宋体"/>
                      <w:b/>
                      <w:sz w:val="24"/>
                      <w:szCs w:val="24"/>
                    </w:rPr>
                    <w:t>           </w:t>
                  </w:r>
                  <w:r>
                    <w:rPr>
                      <w:rFonts w:hint="eastAsia" w:ascii="宋体" w:hAnsi="宋体" w:eastAsia="宋体" w:cs="宋体"/>
                      <w:b/>
                      <w:sz w:val="24"/>
                      <w:szCs w:val="24"/>
                    </w:rPr>
                    <w:drawing>
                      <wp:inline distT="0" distB="0" distL="114300" distR="114300">
                        <wp:extent cx="5067300" cy="1504950"/>
                        <wp:effectExtent l="0" t="0" r="7620" b="3810"/>
                        <wp:docPr id="1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IMG_277"/>
                                <pic:cNvPicPr>
                                  <a:picLocks noChangeAspect="1"/>
                                </pic:cNvPicPr>
                              </pic:nvPicPr>
                              <pic:blipFill>
                                <a:blip r:embed="rId25"/>
                                <a:stretch>
                                  <a:fillRect/>
                                </a:stretch>
                              </pic:blipFill>
                              <pic:spPr>
                                <a:xfrm>
                                  <a:off x="0" y="0"/>
                                  <a:ext cx="5067300" cy="1504950"/>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b/>
                      <w:sz w:val="24"/>
                      <w:szCs w:val="24"/>
                    </w:rPr>
                  </w:pPr>
                  <w:r>
                    <w:rPr>
                      <w:rFonts w:hint="eastAsia" w:ascii="宋体" w:hAnsi="宋体" w:eastAsia="宋体" w:cs="宋体"/>
                      <w:b/>
                      <w:kern w:val="0"/>
                      <w:sz w:val="20"/>
                      <w:szCs w:val="20"/>
                      <w:lang w:val="en-US" w:eastAsia="zh-CN" w:bidi="ar"/>
                    </w:rPr>
                    <w:t>   本月正泰玫瑰园共计投放报广5篇，主要为半版，5月10日4#楼开盘做宣传。华鹏梧桐邑共计投放报广4篇，全为整版，释放5月25日开盘信息。山水华庭共计投放报广3篇，主要为半版投放，全为6月15日开盘信息</w:t>
                  </w:r>
                </w:p>
                <w:p>
                  <w:pPr>
                    <w:pStyle w:val="3"/>
                    <w:keepNext w:val="0"/>
                    <w:keepLines w:val="0"/>
                    <w:widowControl/>
                    <w:suppressLineNumbers w:val="0"/>
                    <w:ind w:left="720" w:right="720"/>
                    <w:jc w:val="left"/>
                  </w:pPr>
                  <w:bookmarkStart w:id="81" w:name="_Toc389951436"/>
                  <w:bookmarkEnd w:id="81"/>
                  <w:r>
                    <w:rPr>
                      <w:rStyle w:val="7"/>
                      <w:b/>
                      <w:sz w:val="20"/>
                      <w:szCs w:val="20"/>
                    </w:rPr>
                    <w:t> </w:t>
                  </w:r>
                  <w:bookmarkStart w:id="82" w:name="_Toc384796975"/>
                  <w:r>
                    <w:rPr>
                      <w:rStyle w:val="7"/>
                      <w:rFonts w:hint="eastAsia" w:ascii="宋体" w:hAnsi="宋体" w:eastAsia="宋体" w:cs="宋体"/>
                      <w:b/>
                      <w:sz w:val="20"/>
                      <w:szCs w:val="20"/>
                    </w:rPr>
                    <w:t>三、网络媒体监测</w:t>
                  </w:r>
                  <w:bookmarkEnd w:id="82"/>
                </w:p>
                <w:p>
                  <w:pPr>
                    <w:keepNext w:val="0"/>
                    <w:keepLines w:val="0"/>
                    <w:widowControl/>
                    <w:suppressLineNumbers w:val="0"/>
                    <w:bidi w:val="0"/>
                    <w:ind w:left="720" w:right="720"/>
                    <w:jc w:val="left"/>
                    <w:rPr>
                      <w:rFonts w:hint="eastAsia" w:ascii="宋体" w:hAnsi="宋体" w:eastAsia="宋体" w:cs="宋体"/>
                      <w:b/>
                      <w:sz w:val="28"/>
                      <w:szCs w:val="28"/>
                    </w:rPr>
                  </w:pPr>
                  <w:r>
                    <w:rPr>
                      <w:rStyle w:val="7"/>
                      <w:rFonts w:hint="eastAsia" w:ascii="宋体" w:hAnsi="宋体" w:eastAsia="宋体" w:cs="宋体"/>
                      <w:b/>
                      <w:kern w:val="0"/>
                      <w:sz w:val="20"/>
                      <w:szCs w:val="20"/>
                      <w:lang w:val="en-US" w:eastAsia="zh-CN" w:bidi="ar"/>
                    </w:rPr>
                    <w:t>  </w:t>
                  </w:r>
                  <w:bookmarkStart w:id="83" w:name="_Toc380050051"/>
                  <w:r>
                    <w:rPr>
                      <w:rStyle w:val="7"/>
                      <w:rFonts w:hint="eastAsia" w:ascii="宋体" w:hAnsi="宋体" w:eastAsia="宋体" w:cs="宋体"/>
                      <w:b/>
                      <w:kern w:val="0"/>
                      <w:sz w:val="20"/>
                      <w:szCs w:val="20"/>
                      <w:lang w:val="en-US" w:eastAsia="zh-CN" w:bidi="ar"/>
                    </w:rPr>
                    <w:t>1</w:t>
                  </w:r>
                  <w:bookmarkEnd w:id="83"/>
                  <w:r>
                    <w:rPr>
                      <w:rStyle w:val="7"/>
                      <w:rFonts w:hint="eastAsia" w:ascii="宋体" w:hAnsi="宋体" w:eastAsia="宋体" w:cs="宋体"/>
                      <w:b/>
                      <w:kern w:val="0"/>
                      <w:sz w:val="20"/>
                      <w:szCs w:val="20"/>
                      <w:lang w:val="en-US" w:eastAsia="zh-CN" w:bidi="ar"/>
                    </w:rPr>
                    <w:t>、搜房网</w:t>
                  </w:r>
                </w:p>
                <w:p>
                  <w:pPr>
                    <w:keepNext w:val="0"/>
                    <w:keepLines w:val="0"/>
                    <w:widowControl/>
                    <w:suppressLineNumbers w:val="0"/>
                    <w:bidi w:val="0"/>
                    <w:ind w:left="720" w:right="720"/>
                    <w:jc w:val="left"/>
                    <w:rPr>
                      <w:rFonts w:hint="eastAsia" w:ascii="宋体" w:hAnsi="宋体" w:eastAsia="宋体" w:cs="宋体"/>
                      <w:b/>
                      <w:sz w:val="28"/>
                      <w:szCs w:val="28"/>
                    </w:rPr>
                  </w:pPr>
                  <w:r>
                    <w:rPr>
                      <w:rStyle w:val="7"/>
                      <w:rFonts w:hint="eastAsia" w:ascii="宋体" w:hAnsi="宋体" w:eastAsia="宋体" w:cs="宋体"/>
                      <w:b/>
                      <w:kern w:val="0"/>
                      <w:sz w:val="20"/>
                      <w:szCs w:val="20"/>
                      <w:lang w:val="en-US" w:eastAsia="zh-CN" w:bidi="ar"/>
                    </w:rPr>
                    <w:t>  本月在搜房网投放广告的主要有恒大帝景、天玺、星湖湾3期等楼盘</w:t>
                  </w:r>
                </w:p>
                <w:p>
                  <w:pPr>
                    <w:pStyle w:val="4"/>
                    <w:keepNext w:val="0"/>
                    <w:keepLines w:val="0"/>
                    <w:widowControl/>
                    <w:suppressLineNumbers w:val="0"/>
                    <w:ind w:left="720" w:right="720"/>
                    <w:jc w:val="left"/>
                  </w:pPr>
                  <w:r>
                    <w:rPr>
                      <w:rFonts w:hint="eastAsia" w:ascii="宋体" w:hAnsi="宋体" w:eastAsia="宋体" w:cs="宋体"/>
                      <w:b/>
                      <w:sz w:val="20"/>
                      <w:szCs w:val="20"/>
                    </w:rPr>
                    <w:t>     </w:t>
                  </w:r>
                  <w:r>
                    <w:rPr>
                      <w:rFonts w:hint="eastAsia" w:ascii="宋体" w:hAnsi="宋体" w:eastAsia="宋体" w:cs="宋体"/>
                      <w:b/>
                      <w:sz w:val="20"/>
                      <w:szCs w:val="20"/>
                    </w:rPr>
                    <w:drawing>
                      <wp:inline distT="0" distB="0" distL="114300" distR="114300">
                        <wp:extent cx="5067300" cy="933450"/>
                        <wp:effectExtent l="0" t="0" r="7620" b="11430"/>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26"/>
                                <a:stretch>
                                  <a:fillRect/>
                                </a:stretch>
                              </pic:blipFill>
                              <pic:spPr>
                                <a:xfrm>
                                  <a:off x="0" y="0"/>
                                  <a:ext cx="5067300" cy="933450"/>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b/>
                      <w:sz w:val="28"/>
                      <w:szCs w:val="28"/>
                    </w:rPr>
                  </w:pPr>
                  <w:r>
                    <w:rPr>
                      <w:rFonts w:hint="eastAsia" w:ascii="宋体" w:hAnsi="宋体" w:eastAsia="宋体" w:cs="宋体"/>
                      <w:b/>
                      <w:kern w:val="0"/>
                      <w:sz w:val="28"/>
                      <w:szCs w:val="28"/>
                      <w:lang w:val="en-US" w:eastAsia="zh-CN" w:bidi="ar"/>
                    </w:rPr>
                    <w:t>    </w:t>
                  </w:r>
                  <w:r>
                    <w:rPr>
                      <w:rStyle w:val="7"/>
                      <w:rFonts w:hint="eastAsia" w:ascii="宋体" w:hAnsi="宋体" w:eastAsia="宋体" w:cs="宋体"/>
                      <w:b/>
                      <w:kern w:val="0"/>
                      <w:sz w:val="20"/>
                      <w:szCs w:val="20"/>
                      <w:lang w:val="en-US" w:eastAsia="zh-CN" w:bidi="ar"/>
                    </w:rPr>
                    <w:t> </w:t>
                  </w:r>
                  <w:bookmarkStart w:id="84" w:name="_Toc380050053"/>
                  <w:r>
                    <w:rPr>
                      <w:rStyle w:val="7"/>
                      <w:rFonts w:hint="eastAsia" w:ascii="宋体" w:hAnsi="宋体" w:eastAsia="宋体" w:cs="宋体"/>
                      <w:b/>
                      <w:kern w:val="0"/>
                      <w:sz w:val="20"/>
                      <w:szCs w:val="20"/>
                      <w:lang w:val="en-US" w:eastAsia="zh-CN" w:bidi="ar"/>
                    </w:rPr>
                    <w:t>2</w:t>
                  </w:r>
                  <w:bookmarkEnd w:id="84"/>
                  <w:r>
                    <w:rPr>
                      <w:rStyle w:val="7"/>
                      <w:rFonts w:hint="eastAsia" w:ascii="宋体" w:hAnsi="宋体" w:eastAsia="宋体" w:cs="宋体"/>
                      <w:b/>
                      <w:kern w:val="0"/>
                      <w:sz w:val="20"/>
                      <w:szCs w:val="20"/>
                      <w:lang w:val="en-US" w:eastAsia="zh-CN" w:bidi="ar"/>
                    </w:rPr>
                    <w:t>、搜狐焦点网</w:t>
                  </w:r>
                </w:p>
                <w:p>
                  <w:pPr>
                    <w:keepNext w:val="0"/>
                    <w:keepLines w:val="0"/>
                    <w:widowControl/>
                    <w:suppressLineNumbers w:val="0"/>
                    <w:bidi w:val="0"/>
                    <w:ind w:left="720" w:right="720"/>
                    <w:jc w:val="left"/>
                    <w:rPr>
                      <w:rFonts w:hint="eastAsia" w:ascii="宋体" w:hAnsi="宋体" w:eastAsia="宋体" w:cs="宋体"/>
                      <w:b/>
                      <w:sz w:val="28"/>
                      <w:szCs w:val="28"/>
                    </w:rPr>
                  </w:pPr>
                  <w:r>
                    <w:rPr>
                      <w:rStyle w:val="7"/>
                      <w:rFonts w:hint="eastAsia" w:ascii="宋体" w:hAnsi="宋体" w:eastAsia="宋体" w:cs="宋体"/>
                      <w:b/>
                      <w:kern w:val="0"/>
                      <w:sz w:val="20"/>
                      <w:szCs w:val="20"/>
                      <w:lang w:val="en-US" w:eastAsia="zh-CN" w:bidi="ar"/>
                    </w:rPr>
                    <w:t>     </w:t>
                  </w:r>
                  <w:bookmarkStart w:id="85" w:name="_Toc380050054"/>
                  <w:r>
                    <w:rPr>
                      <w:rStyle w:val="7"/>
                      <w:rFonts w:hint="eastAsia" w:ascii="宋体" w:hAnsi="宋体" w:eastAsia="宋体" w:cs="宋体"/>
                      <w:b/>
                      <w:kern w:val="0"/>
                      <w:sz w:val="20"/>
                      <w:szCs w:val="20"/>
                      <w:lang w:val="en-US" w:eastAsia="zh-CN" w:bidi="ar"/>
                    </w:rPr>
                    <w:t>本月在搜狐焦点网上投放广告的主要有宜化新天地、山水等项目。</w:t>
                  </w:r>
                  <w:bookmarkEnd w:id="85"/>
                </w:p>
                <w:p>
                  <w:pPr>
                    <w:keepNext w:val="0"/>
                    <w:keepLines w:val="0"/>
                    <w:widowControl/>
                    <w:suppressLineNumbers w:val="0"/>
                    <w:bidi w:val="0"/>
                    <w:ind w:left="720" w:right="720"/>
                    <w:jc w:val="left"/>
                    <w:rPr>
                      <w:rFonts w:hint="eastAsia" w:ascii="宋体" w:hAnsi="宋体" w:eastAsia="宋体" w:cs="宋体"/>
                      <w:b/>
                      <w:sz w:val="28"/>
                      <w:szCs w:val="28"/>
                    </w:rPr>
                  </w:pPr>
                  <w:r>
                    <w:rPr>
                      <w:rFonts w:hint="eastAsia" w:ascii="宋体" w:hAnsi="宋体" w:eastAsia="宋体" w:cs="宋体"/>
                      <w:b/>
                      <w:kern w:val="0"/>
                      <w:sz w:val="28"/>
                      <w:szCs w:val="28"/>
                      <w:lang w:val="en-US" w:eastAsia="zh-CN" w:bidi="ar"/>
                    </w:rPr>
                    <w:t>     </w:t>
                  </w:r>
                  <w:r>
                    <w:rPr>
                      <w:rStyle w:val="7"/>
                      <w:rFonts w:hint="eastAsia" w:ascii="宋体" w:hAnsi="宋体" w:eastAsia="宋体" w:cs="宋体"/>
                      <w:b/>
                      <w:kern w:val="0"/>
                      <w:sz w:val="28"/>
                      <w:szCs w:val="28"/>
                      <w:lang w:val="en-US" w:eastAsia="zh-CN" w:bidi="ar"/>
                    </w:rPr>
                    <w:drawing>
                      <wp:inline distT="0" distB="0" distL="114300" distR="114300">
                        <wp:extent cx="5067300" cy="704850"/>
                        <wp:effectExtent l="0" t="0" r="7620" b="11430"/>
                        <wp:docPr id="2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IMG_279"/>
                                <pic:cNvPicPr>
                                  <a:picLocks noChangeAspect="1"/>
                                </pic:cNvPicPr>
                              </pic:nvPicPr>
                              <pic:blipFill>
                                <a:blip r:embed="rId27"/>
                                <a:stretch>
                                  <a:fillRect/>
                                </a:stretch>
                              </pic:blipFill>
                              <pic:spPr>
                                <a:xfrm>
                                  <a:off x="0" y="0"/>
                                  <a:ext cx="5067300" cy="704850"/>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b/>
                      <w:sz w:val="28"/>
                      <w:szCs w:val="28"/>
                    </w:rPr>
                  </w:pPr>
                  <w:r>
                    <w:rPr>
                      <w:rFonts w:hint="eastAsia" w:ascii="宋体" w:hAnsi="宋体" w:eastAsia="宋体" w:cs="宋体"/>
                      <w:b/>
                      <w:kern w:val="0"/>
                      <w:sz w:val="28"/>
                      <w:szCs w:val="28"/>
                      <w:lang w:val="en-US" w:eastAsia="zh-CN" w:bidi="ar"/>
                    </w:rPr>
                    <w:t>     </w:t>
                  </w:r>
                  <w:bookmarkStart w:id="86" w:name="_Toc380050055"/>
                  <w:r>
                    <w:rPr>
                      <w:rStyle w:val="7"/>
                      <w:rFonts w:hint="eastAsia" w:ascii="宋体" w:hAnsi="宋体" w:eastAsia="宋体" w:cs="宋体"/>
                      <w:b/>
                      <w:kern w:val="0"/>
                      <w:sz w:val="20"/>
                      <w:szCs w:val="20"/>
                      <w:lang w:val="en-US" w:eastAsia="zh-CN" w:bidi="ar"/>
                    </w:rPr>
                    <w:t>3</w:t>
                  </w:r>
                  <w:bookmarkEnd w:id="86"/>
                  <w:r>
                    <w:rPr>
                      <w:rStyle w:val="7"/>
                      <w:rFonts w:hint="eastAsia" w:ascii="宋体" w:hAnsi="宋体" w:eastAsia="宋体" w:cs="宋体"/>
                      <w:b/>
                      <w:kern w:val="0"/>
                      <w:sz w:val="20"/>
                      <w:szCs w:val="20"/>
                      <w:lang w:val="en-US" w:eastAsia="zh-CN" w:bidi="ar"/>
                    </w:rPr>
                    <w:t>、大楚网</w:t>
                  </w:r>
                </w:p>
                <w:p>
                  <w:pPr>
                    <w:keepNext w:val="0"/>
                    <w:keepLines w:val="0"/>
                    <w:widowControl/>
                    <w:suppressLineNumbers w:val="0"/>
                    <w:bidi w:val="0"/>
                    <w:ind w:left="720" w:right="720"/>
                    <w:jc w:val="left"/>
                    <w:rPr>
                      <w:rFonts w:hint="eastAsia" w:ascii="宋体" w:hAnsi="宋体" w:eastAsia="宋体" w:cs="宋体"/>
                      <w:b/>
                      <w:sz w:val="28"/>
                      <w:szCs w:val="28"/>
                    </w:rPr>
                  </w:pPr>
                  <w:r>
                    <w:rPr>
                      <w:rStyle w:val="7"/>
                      <w:rFonts w:hint="eastAsia" w:ascii="宋体" w:hAnsi="宋体" w:eastAsia="宋体" w:cs="宋体"/>
                      <w:b/>
                      <w:kern w:val="0"/>
                      <w:sz w:val="20"/>
                      <w:szCs w:val="20"/>
                      <w:lang w:val="en-US" w:eastAsia="zh-CN" w:bidi="ar"/>
                    </w:rPr>
                    <w:t>    </w:t>
                  </w:r>
                  <w:bookmarkStart w:id="87" w:name="_Toc380050056"/>
                  <w:r>
                    <w:rPr>
                      <w:rStyle w:val="7"/>
                      <w:rFonts w:hint="eastAsia" w:ascii="宋体" w:hAnsi="宋体" w:eastAsia="宋体" w:cs="宋体"/>
                      <w:b/>
                      <w:kern w:val="0"/>
                      <w:sz w:val="20"/>
                      <w:szCs w:val="20"/>
                      <w:lang w:val="en-US" w:eastAsia="zh-CN" w:bidi="ar"/>
                    </w:rPr>
                    <w:t>本月在大楚网上投放广告的主要有恒信·中央公园、恒大绿洲等项目</w:t>
                  </w:r>
                  <w:r>
                    <w:rPr>
                      <w:rStyle w:val="7"/>
                      <w:rFonts w:hint="eastAsia" w:ascii="宋体" w:hAnsi="宋体" w:eastAsia="宋体" w:cs="宋体"/>
                      <w:b/>
                      <w:kern w:val="0"/>
                      <w:sz w:val="28"/>
                      <w:szCs w:val="28"/>
                      <w:lang w:val="en-US" w:eastAsia="zh-CN" w:bidi="ar"/>
                    </w:rPr>
                    <w:t>。</w:t>
                  </w:r>
                  <w:bookmarkEnd w:id="87"/>
                </w:p>
                <w:p>
                  <w:pPr>
                    <w:keepNext w:val="0"/>
                    <w:keepLines w:val="0"/>
                    <w:widowControl/>
                    <w:suppressLineNumbers w:val="0"/>
                    <w:bidi w:val="0"/>
                    <w:ind w:left="720" w:right="720"/>
                    <w:jc w:val="left"/>
                    <w:rPr>
                      <w:rFonts w:hint="eastAsia" w:ascii="宋体" w:hAnsi="宋体" w:eastAsia="宋体" w:cs="宋体"/>
                      <w:b/>
                      <w:sz w:val="28"/>
                      <w:szCs w:val="28"/>
                    </w:rPr>
                  </w:pPr>
                  <w:r>
                    <w:rPr>
                      <w:rFonts w:hint="eastAsia" w:ascii="宋体" w:hAnsi="宋体" w:eastAsia="宋体" w:cs="宋体"/>
                      <w:b/>
                      <w:kern w:val="0"/>
                      <w:sz w:val="28"/>
                      <w:szCs w:val="28"/>
                      <w:lang w:val="en-US" w:eastAsia="zh-CN" w:bidi="ar"/>
                    </w:rPr>
                    <w:t>     </w:t>
                  </w:r>
                  <w:r>
                    <w:rPr>
                      <w:rStyle w:val="7"/>
                      <w:rFonts w:hint="eastAsia" w:ascii="宋体" w:hAnsi="宋体" w:eastAsia="宋体" w:cs="宋体"/>
                      <w:b/>
                      <w:kern w:val="0"/>
                      <w:sz w:val="28"/>
                      <w:szCs w:val="28"/>
                      <w:lang w:val="en-US" w:eastAsia="zh-CN" w:bidi="ar"/>
                    </w:rPr>
                    <w:drawing>
                      <wp:inline distT="0" distB="0" distL="114300" distR="114300">
                        <wp:extent cx="5067300" cy="885825"/>
                        <wp:effectExtent l="0" t="0" r="7620" b="13335"/>
                        <wp:docPr id="2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IMG_280"/>
                                <pic:cNvPicPr>
                                  <a:picLocks noChangeAspect="1"/>
                                </pic:cNvPicPr>
                              </pic:nvPicPr>
                              <pic:blipFill>
                                <a:blip r:embed="rId28"/>
                                <a:stretch>
                                  <a:fillRect/>
                                </a:stretch>
                              </pic:blipFill>
                              <pic:spPr>
                                <a:xfrm>
                                  <a:off x="0" y="0"/>
                                  <a:ext cx="5067300" cy="885825"/>
                                </a:xfrm>
                                <a:prstGeom prst="rect">
                                  <a:avLst/>
                                </a:prstGeom>
                                <a:noFill/>
                                <a:ln w="9525">
                                  <a:noFill/>
                                </a:ln>
                              </pic:spPr>
                            </pic:pic>
                          </a:graphicData>
                        </a:graphic>
                      </wp:inline>
                    </w:drawing>
                  </w:r>
                </w:p>
                <w:p>
                  <w:pPr>
                    <w:keepNext w:val="0"/>
                    <w:keepLines w:val="0"/>
                    <w:widowControl/>
                    <w:suppressLineNumbers w:val="0"/>
                    <w:bidi w:val="0"/>
                    <w:ind w:left="720" w:right="720"/>
                    <w:jc w:val="left"/>
                    <w:rPr>
                      <w:rFonts w:hint="eastAsia" w:ascii="宋体" w:hAnsi="宋体" w:eastAsia="宋体" w:cs="宋体"/>
                      <w:b/>
                      <w:sz w:val="28"/>
                      <w:szCs w:val="28"/>
                    </w:rPr>
                  </w:pPr>
                  <w:r>
                    <w:rPr>
                      <w:rFonts w:hint="eastAsia" w:ascii="宋体" w:hAnsi="宋体" w:eastAsia="宋体" w:cs="宋体"/>
                      <w:b/>
                      <w:kern w:val="0"/>
                      <w:sz w:val="28"/>
                      <w:szCs w:val="28"/>
                      <w:lang w:val="en-US" w:eastAsia="zh-CN" w:bidi="ar"/>
                    </w:rPr>
                    <w:t>       </w:t>
                  </w:r>
                  <w:r>
                    <w:rPr>
                      <w:rStyle w:val="7"/>
                      <w:rFonts w:hint="eastAsia" w:ascii="宋体" w:hAnsi="宋体" w:eastAsia="宋体" w:cs="宋体"/>
                      <w:b/>
                      <w:kern w:val="0"/>
                      <w:sz w:val="20"/>
                      <w:szCs w:val="20"/>
                      <w:lang w:val="en-US" w:eastAsia="zh-CN" w:bidi="ar"/>
                    </w:rPr>
                    <w:t>目前楼市表现低迷，来访情况不甚理想，纸媒投放量较上月而言急剧较少，面对不利局势，开发商将主要精力转而投向活动宣传，以期增添人气。如：江山多娇联合宜昌金东方学校举办《金东方（2014）招生咨询答疑会》活动、宏峰上上城召开亲子运动会及举行摄影大赛、美联御江一品开启产品品鉴会活动等。</w:t>
                  </w:r>
                  <w:r>
                    <w:rPr>
                      <w:rFonts w:hint="eastAsia" w:ascii="宋体" w:hAnsi="宋体" w:eastAsia="宋体" w:cs="宋体"/>
                      <w:b/>
                      <w:kern w:val="0"/>
                      <w:sz w:val="28"/>
                      <w:szCs w:val="28"/>
                      <w:lang w:val="en-US" w:eastAsia="zh-CN" w:bidi="ar"/>
                    </w:rPr>
                    <w:t>       </w:t>
                  </w:r>
                </w:p>
                <w:p>
                  <w:pPr>
                    <w:pStyle w:val="4"/>
                    <w:keepNext w:val="0"/>
                    <w:keepLines w:val="0"/>
                    <w:widowControl/>
                    <w:suppressLineNumbers w:val="0"/>
                    <w:ind w:left="720" w:right="720"/>
                    <w:jc w:val="left"/>
                  </w:pPr>
                  <w:r>
                    <w:rPr>
                      <w:rFonts w:hint="eastAsia" w:ascii="宋体" w:hAnsi="宋体" w:eastAsia="宋体" w:cs="宋体"/>
                      <w:b/>
                      <w:sz w:val="28"/>
                      <w:szCs w:val="28"/>
                    </w:rPr>
                    <w:t>     </w:t>
                  </w:r>
                  <w:r>
                    <w:rPr>
                      <w:rFonts w:hint="eastAsia" w:ascii="宋体" w:hAnsi="宋体" w:eastAsia="宋体" w:cs="宋体"/>
                      <w:b/>
                      <w:sz w:val="28"/>
                      <w:szCs w:val="28"/>
                    </w:rPr>
                    <w:drawing>
                      <wp:inline distT="0" distB="0" distL="114300" distR="114300">
                        <wp:extent cx="4267200" cy="1714500"/>
                        <wp:effectExtent l="0" t="0" r="0" b="762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4267200" cy="1714500"/>
                                </a:xfrm>
                                <a:prstGeom prst="rect">
                                  <a:avLst/>
                                </a:prstGeom>
                                <a:noFill/>
                                <a:ln w="9525">
                                  <a:noFill/>
                                </a:ln>
                              </pic:spPr>
                            </pic:pic>
                          </a:graphicData>
                        </a:graphic>
                      </wp:inline>
                    </w:drawing>
                  </w:r>
                </w:p>
              </w:tc>
            </w:tr>
          </w:tbl>
          <w:p>
            <w:pPr>
              <w:jc w:val="center"/>
              <w:rPr>
                <w:rFonts w:hint="eastAsia" w:ascii="宋体" w:hAnsi="宋体" w:eastAsia="宋体" w:cs="宋体"/>
                <w:caps w:val="0"/>
                <w:spacing w:val="0"/>
                <w:sz w:val="14"/>
                <w:szCs w:val="14"/>
              </w:rPr>
            </w:pPr>
          </w:p>
        </w:tc>
      </w:tr>
    </w:tbl>
    <w:p>
      <w:bookmarkStart w:id="88" w:name="_GoBack"/>
      <w:bookmarkEnd w:id="8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536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2019-09-30T01:46:55Z</dcterms:created>
  <dc:creator>HP</dc:creator>
  <cp:lastModifiedBy>joke</cp:lastModifiedBy>
  <dcterms:modified xsi:type="dcterms:W3CDTF">2019-09-30T01:47:03Z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