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208" w:type="dxa"/>
        <w:jc w:val="center"/>
        <w:tblCellSpacing w:w="0" w:type="dxa"/>
        <w:tblInd w:w="49" w:type="dxa"/>
        <w:shd w:val="clear" w:color="auto" w:fill="FFFFFF"/>
        <w:tblLayout w:type="fixed"/>
        <w:tblCellMar>
          <w:top w:w="132" w:type="dxa"/>
          <w:left w:w="0" w:type="dxa"/>
          <w:bottom w:w="0" w:type="dxa"/>
          <w:right w:w="0" w:type="dxa"/>
        </w:tblCellMar>
      </w:tblPr>
      <w:tblGrid>
        <w:gridCol w:w="8208"/>
      </w:tblGrid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kern w:val="0"/>
                <w:sz w:val="16"/>
                <w:szCs w:val="16"/>
                <w:lang w:val="en-US" w:eastAsia="zh-CN" w:bidi="ar"/>
              </w:rPr>
              <w:t>2014年12月宜昌市城区房地产市场分析报告</w:t>
            </w:r>
          </w:p>
        </w:tc>
      </w:tr>
      <w:tr>
        <w:tblPrEx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6C5239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color w:val="6C5239"/>
                <w:spacing w:val="0"/>
                <w:kern w:val="0"/>
                <w:sz w:val="14"/>
                <w:szCs w:val="14"/>
                <w:lang w:val="en-US" w:eastAsia="zh-CN" w:bidi="ar"/>
              </w:rPr>
              <w:t>发布时间：1/19/2015 2:55:32 PM 浏览：2518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3"/>
        <w:gridCol w:w="4153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jc w:val="center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306" w:type="dxa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bookmarkStart w:id="0" w:name="_Toc398024651"/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第一部分   </w:t>
            </w:r>
            <w:bookmarkEnd w:id="0"/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</w:rPr>
              <w:t>楼市政策分析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bookmarkStart w:id="1" w:name="_Toc398024652"/>
            <w:bookmarkEnd w:id="1"/>
            <w:bookmarkStart w:id="2" w:name="_Toc384797619"/>
            <w:bookmarkEnd w:id="2"/>
            <w:bookmarkStart w:id="3" w:name="_Toc384797303"/>
            <w:bookmarkEnd w:id="3"/>
            <w:bookmarkStart w:id="4" w:name="_Toc384797221"/>
            <w:bookmarkEnd w:id="4"/>
            <w:bookmarkStart w:id="5" w:name="_Toc384796962"/>
            <w:bookmarkEnd w:id="5"/>
            <w:bookmarkStart w:id="6" w:name="_Toc380050033"/>
            <w:bookmarkEnd w:id="6"/>
            <w:bookmarkStart w:id="7" w:name="_Toc347757543"/>
            <w:bookmarkEnd w:id="7"/>
            <w:r>
              <w:rPr>
                <w:caps w:val="0"/>
                <w:spacing w:val="0"/>
              </w:rPr>
              <w:t>     </w:t>
            </w:r>
            <w:bookmarkStart w:id="8" w:name="_Toc345167227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一、本月楼市政策一览</w:t>
            </w:r>
            <w:bookmarkEnd w:id="8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12月24日，央行：同业存款有望免缴准备金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内容简介：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央行表示，非银行金融机构同业存款与同业借款纳入存贷比，但是存款准备金率初步定为零，上述机构不包括财务公司。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免缴准意味着非银行金融机构将会拥有更多流动资金，从某种角度上说，是增强了其信贷的能力。现在楼市情形仍未有很大的改善，资金链尤为关键，央行此举对楼市发展有积极的作用。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 12月22日，国务院：不动产登记暂行条例公布，明年3月起施行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内容简介：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国务院于22日公布《不动产登记暂行条例》（以下简称“条例”）全文，自2015年3月1日起施行，此新规对于不动产登记信息的整合与共享作出了详细而明确的规定。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不动产登记新规有利于摸清中国的住房家底，据此科学制定政策，并不会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对房价产生直接影响。但从长远角度看，新规为今后房产税等改革措施提供了基础数据来源，能够保证未来房地产调控更加精准有效。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12月19日，武汉公积金管理中心：武汉长沙合肥南昌公积金异地互认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内容简介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：汉住房公积金管理中心宣布：自2015年1月1日起，武汉、长沙、合肥和南昌4个长江中游城市之间的住房公积金缴存将实行异地互认和转移接续。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政策解读：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4个城市间公积金互通互联，将提高公积金的使用效率，释放政府稳定楼市的积极信号，但异地使用公积金在汉买房的人相对少，对武汉楼市构成的利好有限，预计对市场整体影响不大。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政策归纳：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bookmarkStart w:id="9" w:name="_Toc384797620"/>
            <w:bookmarkEnd w:id="9"/>
            <w:bookmarkStart w:id="10" w:name="_Toc384797304"/>
            <w:bookmarkEnd w:id="10"/>
            <w:bookmarkStart w:id="11" w:name="_Toc384797222"/>
            <w:bookmarkEnd w:id="11"/>
            <w:bookmarkStart w:id="12" w:name="_Toc384796963"/>
            <w:bookmarkEnd w:id="12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bookmarkStart w:id="13" w:name="_Toc380050034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近几月“松绑限购”、“放开限贷”及“央行降息”等闹得火热。但2014年的最后一个月里，房地产市场政策面相对平静许多。之前出台的政策效应还在延续，中央继续以放宽资金面为基础，地方政府仍在公积金等常见调控方面做文章。总体来看，2015年我国房地产市场政策面将持续宽松，全力去库存仍是政府的工作重点，打压和强力刺激的政策出现的可能性均不大，维持现有政策的平稳落实将是主旋律。为了稳定经济增长，未来市场整体资金面将相对宽松，房地产市场也会受益。</w:t>
            </w:r>
            <w:bookmarkEnd w:id="13"/>
            <w:bookmarkStart w:id="14" w:name="_Toc398024653"/>
            <w:bookmarkEnd w:id="14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    二、楼市发展趋势分析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土地状况：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838200"/>
                  <wp:effectExtent l="0" t="0" r="0" b="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 w:line="288" w:lineRule="atLeast"/>
              <w:ind w:left="0" w:right="0" w:firstLine="560"/>
            </w:pPr>
            <w:r>
              <w:rPr>
                <w:rFonts w:ascii="Times New Roman" w:hAnsi="Times New Roman" w:eastAsia="宋体" w:cs="Times New Roman"/>
                <w:caps w:val="0"/>
                <w:spacing w:val="0"/>
                <w:sz w:val="14"/>
                <w:szCs w:val="14"/>
                <w:shd w:val="clear" w:fill="FFFFFF"/>
                <w:lang w:val="en-US"/>
              </w:rPr>
              <w:t>  </w:t>
            </w:r>
            <w:r>
              <w:rPr>
                <w:rFonts w:hint="default" w:ascii="Times New Roman" w:hAnsi="Times New Roman" w:eastAsia="宋体" w:cs="Times New Roman"/>
                <w:caps w:val="0"/>
                <w:spacing w:val="0"/>
                <w:sz w:val="14"/>
                <w:szCs w:val="14"/>
                <w:shd w:val="clear" w:fill="FFFFFF"/>
                <w:lang w:val="en-US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  <w:shd w:val="clear" w:fill="FFFFFF"/>
              </w:rPr>
              <w:t>供应情况：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2014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年，全国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300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个城市共推出土地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36260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宗，同比减少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20%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；推出土地面积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135659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万平方米，同比减少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24%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。其中，住宅类用地（含住宅用地及包含住宅用地的综合性用地）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11088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宗，同比减少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26%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；推出土地面积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48486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万平方米，同比减少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28%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  <w:shd w:val="clear" w:fill="FFFFFF"/>
              </w:rPr>
              <w:t>二季度起供地节奏放缓，同比降幅均在两成以上，供应总量较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2013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  <w:shd w:val="clear" w:fill="FFFFFF"/>
              </w:rPr>
              <w:t>年回落。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 w:line="288" w:lineRule="atLeast"/>
              <w:ind w:left="0" w:right="0" w:firstLine="48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12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月全国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300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个城市共推出土地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4993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宗，推出土地面积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19518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万平方米，环比增加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126%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，同比减少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29%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。其中，住宅类用地（含住宅用地及包含住宅用地的综合性用地）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1759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宗，推出土地面积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7461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万平方米，环比增加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127%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，同比减少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  <w:lang w:val="en-US"/>
              </w:rPr>
              <w:t>36%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shd w:val="clear" w:fill="FFFFFF"/>
              </w:rPr>
              <w:t>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  <w:shd w:val="clear" w:fill="FFFFFF"/>
              </w:rPr>
              <w:t>全国主要城市推地量环比开始大幅上升，而同比仍在下跌。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 w:line="288" w:lineRule="atLeast"/>
              <w:ind w:left="0" w:right="0" w:firstLine="480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14"/>
                <w:szCs w:val="14"/>
                <w:shd w:val="clear" w:fill="FFFFFF"/>
                <w:lang w:val="en-US"/>
              </w:rPr>
              <w:t>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14"/>
                <w:szCs w:val="14"/>
                <w:shd w:val="clear" w:fill="FFFFFF"/>
                <w:lang w:val="en-US"/>
              </w:rPr>
              <w:drawing>
                <wp:inline distT="0" distB="0" distL="114300" distR="114300">
                  <wp:extent cx="4000500" cy="1609725"/>
                  <wp:effectExtent l="0" t="0" r="7620" b="5715"/>
                  <wp:docPr id="3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成交情况：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全国300个城市共成交土地27907宗，同比减少28%；成交面积104032万平方米，同比减少31%。其中，住宅用地（含住宅用地及包含住宅用地的综合性用地）7941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宗，同比减少35%，成交面积35377万平方米，同比减少36%。成交量保持低位运行，降幅大于供应量。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12月全国300个城市共成交土地3011宗，成交土地面积11620万平方米，环比增加118%，同比减少47%。其中，住宅类用地（含住宅用地及包含住宅用地的综合性用地）1022宗，成交土地面积4324万平方米，环比增加113%，同比减少47%。全国主要城市成交量大幅回升，但却不及去年同期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000500" cy="1676400"/>
                  <wp:effectExtent l="0" t="0" r="7620" b="0"/>
                  <wp:docPr id="20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default" w:ascii="Times New Roman" w:hAnsi="Times New Roman" w:eastAsia="宋体" w:cs="Times New Roman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成交价格：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全国300个城市成交楼面均价为1234元/平方米，同比上涨6%；其中住宅类用地（含住宅用地及包含住宅用地的综合性用地）成交楼面均价为1834元/平方米，同比上涨13%。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重点城市优质地块拉高均价水平，除三季度外均同比上涨，宅地价格领涨。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12月全国300个城市成交楼面均价为1250元/平方米，环比下跌31%，同比上涨6%；其中住宅类用地（含住宅用地及包含住宅用地的综合性用地）成交楼面均价为1770元/平方米，环比下跌41%，同比上涨2%。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本月楼面均价要好于去年同期，但却不及上月。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 w:line="288" w:lineRule="atLeast"/>
              <w:ind w:left="0" w:right="0" w:firstLine="480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14"/>
                <w:szCs w:val="14"/>
                <w:shd w:val="clear" w:fill="FFFFFF"/>
                <w:lang w:val="en-US"/>
              </w:rPr>
              <w:t>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14"/>
                <w:szCs w:val="14"/>
                <w:shd w:val="clear" w:fill="FFFFFF"/>
                <w:lang w:val="en-US"/>
              </w:rPr>
              <w:drawing>
                <wp:inline distT="0" distB="0" distL="114300" distR="114300">
                  <wp:extent cx="4000500" cy="1676400"/>
                  <wp:effectExtent l="0" t="0" r="7620" b="0"/>
                  <wp:docPr id="12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房价情况：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 本月监测的100个城市中成交价格环比上涨的有30个，较上月增加了7个，其中厦门、珠海及湖州涨幅最大，在1%以上；而其余70个城市均环比下跌，其中温州跌幅最大，在3%以上。10个重点城市中5个上涨，较上月增加1个，其中杭州涨幅最大，其环比上涨0.73%；而其余城市均出现不同程度的下跌。总体而言，本月成交价格下跌态势有所缓和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  本月宜昌楼市情况：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43175" cy="1333500"/>
                  <wp:effectExtent l="0" t="0" r="1905" b="7620"/>
                  <wp:docPr id="6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19350" cy="1333500"/>
                  <wp:effectExtent l="0" t="0" r="3810" b="7620"/>
                  <wp:docPr id="5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受成交区域影响，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十二月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成交价格环比上涨12.8%，成交均价为4906.76元/㎡；与此同时，本月成交2014套，环比增加4.2%，延续了八月以来上升势头。四季度以来，政府的房产利好政策与房企的购房优惠不断，减少了不少购房者的购房压力，观望情绪有所改善，助推了十二月成交量走高，从而呈现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“量价齐升”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的特征。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回顾2014年宜昌楼市，可谓“先冷后暖”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上半年初始受楼市负面信息影响，商品房成交量一路走低，到二季度若非大盘集中供应，形势会显得更为严峻；但随着政府的积极介入，及开发商的不懈努力，至八月始，商品房成交量步步攀升，市场有回暖迹象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展望三羊开泰的2015年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，目前市场氛围有所缓和，且返乡置业大军就将来临，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羊年宜昌楼市有望旗开得胜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</w:t>
            </w:r>
            <w:bookmarkStart w:id="15" w:name="_Toc398024654"/>
            <w:bookmarkEnd w:id="15"/>
            <w:bookmarkStart w:id="16" w:name="_Toc384797621"/>
            <w:bookmarkEnd w:id="16"/>
            <w:bookmarkStart w:id="17" w:name="_Toc384797305"/>
            <w:bookmarkEnd w:id="17"/>
            <w:bookmarkStart w:id="18" w:name="_Toc384797223"/>
            <w:bookmarkEnd w:id="18"/>
            <w:bookmarkStart w:id="19" w:name="_Toc384796964"/>
            <w:bookmarkEnd w:id="19"/>
            <w:bookmarkStart w:id="20" w:name="_Toc380050035"/>
            <w:bookmarkEnd w:id="20"/>
            <w:bookmarkStart w:id="21" w:name="_Toc353178131"/>
            <w:bookmarkEnd w:id="21"/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  <w:lang w:val="en-US"/>
              </w:rPr>
              <w:t>第二部分   土地市场分析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</w:pPr>
            <w:bookmarkStart w:id="22" w:name="_Toc398024655"/>
            <w:bookmarkEnd w:id="22"/>
            <w:bookmarkStart w:id="23" w:name="_Toc384797622"/>
            <w:bookmarkEnd w:id="23"/>
            <w:bookmarkStart w:id="24" w:name="_Toc384797306"/>
            <w:bookmarkEnd w:id="24"/>
            <w:bookmarkStart w:id="25" w:name="_Toc384797224"/>
            <w:bookmarkEnd w:id="25"/>
            <w:bookmarkStart w:id="26" w:name="_Toc384796965"/>
            <w:bookmarkEnd w:id="26"/>
            <w:bookmarkStart w:id="27" w:name="_Toc380050036"/>
            <w:bookmarkEnd w:id="27"/>
            <w:bookmarkStart w:id="28" w:name="_Toc353178132"/>
            <w:bookmarkEnd w:id="28"/>
            <w:bookmarkStart w:id="29" w:name="_Toc347757546"/>
            <w:bookmarkEnd w:id="29"/>
            <w:bookmarkStart w:id="30" w:name="_Toc339981458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一、土地供应市场解析</w:t>
            </w:r>
            <w:bookmarkEnd w:id="30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bookmarkStart w:id="31" w:name="_Toc380050037"/>
            <w:bookmarkEnd w:id="31"/>
            <w:bookmarkStart w:id="32" w:name="_Toc350245826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32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、土地供应情况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本月共出让地块3宗，出让总面积约26万方，出让总额约12.2亿元。本月总出让面积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环比减少81%，同比减少18%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12月出让地块详情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066800"/>
                  <wp:effectExtent l="0" t="0" r="0" b="0"/>
                  <wp:docPr id="28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2013年12月-2014年12月宜昌城区土地供给横向对比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1066800"/>
                  <wp:effectExtent l="0" t="0" r="0" b="0"/>
                  <wp:docPr id="7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2、出让土地特征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 从用地性质上来看，本月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以商住用地为主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，其中商住用地2宗、商业用地1宗。从区域上来看，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供地区域主要集中在伍家岗与西陵区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。其中住宅类用地为8.3万方，环比减少87%，同比增加21%。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住宅类用地供应量虽环比大幅减少，但却好于去年同期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2014年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对于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政府供地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的态度可以大体总结为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“谨慎”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。土地市场成交量的“遇冷”，以及楼市的跌宕起伏，均使出让者心里蒙上了面纱。但现在形势有所变化，楼市有回暖的迹象，年底成交量也明显大幅上扬，若要叙说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2015年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，想必有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“三羊开泰”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的可能。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3、本月出让用地介绍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本月出让的商业用地为：【宜土网挂（2014）115号】，位于大树湾村与旭光村交汇处，预计未来放量为25.8万方。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本月出让的住宅类用地为：【宜土网挂（2014）116号】，位于伍家岗区白沙路，预计未来放量为25.4万方，附近楼盘有东郡、香山福久源及山水华庭等。【宜土网挂（2014）117号】，位于献福路46号，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预计未来放量为3.8万方，附近小区有欧洲世纪城、墨池苑及青亲江岸等。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挂牌土地示意图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781550" cy="3486150"/>
                  <wp:effectExtent l="0" t="0" r="3810" b="3810"/>
                  <wp:docPr id="8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    二、本月土地成交分析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 1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、土地成交情况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本月成交地块20宗，成交总面积142.3万方，成交金额18.4亿元，成交均价86万元/亩。本月成交面积环比增加7.2倍，同比减少9%。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 12月成交地块详情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419600"/>
                  <wp:effectExtent l="0" t="0" r="0" b="0"/>
                  <wp:docPr id="3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4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752725"/>
                  <wp:effectExtent l="0" t="0" r="0" b="5715"/>
                  <wp:docPr id="27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2、成交土地特征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从用地性质上来看，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主要为工业用地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，其中工业用地10宗，住宅用地7宗，商住、商业及道路与交通设施用地各1宗。从区域来看，本次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住宅类用地大都集中在点军区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。本月住宅类用地约为58万方，环比增加493倍，同比增加1.5倍，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住宅类用地成交量大幅增加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3、本月成交地块介绍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本月成交住宅类地块8宗：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【宜土网挂（2014）100-106号】7宗地块由宜昌市城市建设投资开发有限公司竞得，主要集中在点军五龙大道附近，总占面约844亩，容积率2.2，总建面估算约124万方（只含地上建筑面积），成交价168.1万元/亩，楼面地价1143.55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【夷G[2014]66号】地块由宜昌弘洋集团有限公司竞得，位于小溪塔街道丁家坝社，总占 面约24亩，容积率为2.8，总建面为4.5万方（只含地上建筑面积），成交价98.42万元/亩，楼面地价527.24元/㎡。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本月成交商业地块1宗：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【宜土网挂（2014）107号】地块由宜昌市城市建设投资开发有限公司竞得，位于伍家岗共谊村（东站一路东侧），总占面约299亩，容积率为1.0，总建面约20万方（只含地上建筑面积），成交价约80万元/亩，楼面地价约为1198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成交土地示意图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3486150"/>
                  <wp:effectExtent l="0" t="0" r="0" b="3810"/>
                  <wp:docPr id="9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4、2013年1月—2014年12月土地市场成交走势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如下图所示，至九月始土地市场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成交量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不断走低，但在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本月一跃成为年度最高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。近期政府利好举措接踵而至，积极信号不断释放，且楼市活动也大势出击，商品房成交量也随之步步攀升，市场行情有所改善，开发商拿地情绪开始解冻，从而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出现年底翘尾现象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受住宅类用地成交量大幅度攀升的影响，本月成交均价走高，从而致使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土地市场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呈现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量价齐升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的特征。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对于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2014年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，土地市场出现较多的形容词为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“遇冷”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。由于受楼市波及，成交量大都处于低位，但年末成交量也随之走高。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放眼2015年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，楼市有渐渐解冻之势，土地市场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可能“见暖”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土地成交面积走势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81275" cy="2000250"/>
                  <wp:effectExtent l="0" t="0" r="9525" b="11430"/>
                  <wp:docPr id="21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81275" cy="2000250"/>
                  <wp:effectExtent l="0" t="0" r="9525" b="11430"/>
                  <wp:docPr id="26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  <w:lang w:val="en-US"/>
              </w:rPr>
              <w:t>第三部分   各区楼市表现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宜昌楼市主要动态：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本月开始接受认筹项目有：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中南皇廷认筹2万抵5万；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天玺别墅认筹25万抵50万；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宜昌碧桂园洋房认筹2万抵5万及别墅认筹5万抵10万；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本月新开盘项目有：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12月27日，鑫源人才公寓开盘；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12月30日，金都建材城开盘；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12月28日，平湖港湾推出1、2#楼；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12月27日，宜昌碧桂园推出一期洋房及别墅；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预计下月开盘项目有：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繁荣世家元月初开盘；长楹观邸元月初开盘；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中兴国际花园元月初开盘；宜化巴黎香颂元月初开盘；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江南星城15#楼元月中旬开盘；楚天虹桥澜岸元月初开盘；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山水华庭三期元月中旬开盘；磨基山旅游综合体元月底开盘；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主城区其他重点项目动态：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 天玺“顶级奢品”展；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 宜化新天地“熊猫展”；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 宜化巴黎香颂“恐龙展”；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 星湖湾举行“变形金刚展”；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 宜昌碧桂园首届“青年彩跑”；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 清江尚玲珑“圣诞迪士尼乐园大寻宝”活动；</w:t>
            </w:r>
            <w:bookmarkStart w:id="33" w:name="_Toc398024658"/>
            <w:bookmarkEnd w:id="33"/>
            <w:bookmarkStart w:id="34" w:name="_Toc384797625"/>
            <w:bookmarkEnd w:id="34"/>
            <w:bookmarkStart w:id="35" w:name="_Toc384797309"/>
            <w:bookmarkEnd w:id="35"/>
            <w:bookmarkStart w:id="36" w:name="_Toc384797227"/>
            <w:bookmarkEnd w:id="36"/>
            <w:bookmarkStart w:id="37" w:name="_Toc384796968"/>
            <w:bookmarkEnd w:id="37"/>
            <w:bookmarkStart w:id="38" w:name="_Toc380050041"/>
            <w:bookmarkEnd w:id="38"/>
            <w:bookmarkStart w:id="39" w:name="_Toc353178136"/>
            <w:bookmarkEnd w:id="39"/>
            <w:bookmarkStart w:id="40" w:name="_Toc347757549"/>
            <w:bookmarkEnd w:id="40"/>
            <w:bookmarkStart w:id="41" w:name="_Toc345167233"/>
            <w:bookmarkEnd w:id="41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     一、西陵区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695825"/>
                  <wp:effectExtent l="0" t="0" r="0" b="13335"/>
                  <wp:docPr id="10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69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◎项目名称：天玺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3581400" cy="2171700"/>
                  <wp:effectExtent l="0" t="0" r="0" b="7620"/>
                  <wp:docPr id="16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西陵二路与体育场路交会处；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□开发商：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湖北华祥投资发展有限公司；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□项目定位：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城心龙脉•半山墅区；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□主广告语：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俯视一座城市的仰望/270度俯瞰一城美景；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总占地9.8万方，总建面36万方，容积率2.29，绿化率40%，建筑密度为25%，分三期开发。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由14栋高层和31栋联排别墅组合而成。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□主力户型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 A户型    3×2×2   138.00㎡      占比25%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 B户型    3×2×2   123.00㎡      占比25%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 C户型    2×2×1   87.00㎡       占比50%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A户型                      B户型                     C户型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133600" cy="1466850"/>
                  <wp:effectExtent l="0" t="0" r="0" b="11430"/>
                  <wp:docPr id="23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028825" cy="1466850"/>
                  <wp:effectExtent l="0" t="0" r="13335" b="11430"/>
                  <wp:docPr id="24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981075" cy="1466850"/>
                  <wp:effectExtent l="0" t="0" r="9525" b="11430"/>
                  <wp:docPr id="11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□户型点评：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大户型与小户型占比均衡。在功能设计上两厅变为横厅，增加了采光与通透性；设有空中花园与大型阳台，可蝶变，提高了利用率。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□项目动态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：其26#楼87-138平米新品即将开盘，现认筹1万抵3万，免10年物业费，另有天玺别墅18席已面世。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地处老城核心，周边生活配套成熟，交通便捷。住宅定位高端，营销活动新颖有档次；但403周边老旧环境影响项目形象。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81275" cy="1733550"/>
                  <wp:effectExtent l="0" t="0" r="9525" b="3810"/>
                  <wp:docPr id="29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657475" cy="1733550"/>
                  <wp:effectExtent l="0" t="0" r="9525" b="3810"/>
                  <wp:docPr id="15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lang w:val="en-US"/>
              </w:rPr>
              <w:t>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二、伍家区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1、区内主要楼盘动态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657725"/>
                  <wp:effectExtent l="0" t="0" r="0" b="5715"/>
                  <wp:docPr id="25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◎项目名称：中南皇庭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28875" cy="2714625"/>
                  <wp:effectExtent l="0" t="0" r="9525" b="13335"/>
                  <wp:docPr id="33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伍家岗区夷陵路328号（中南路与夷陵大道交汇处）；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宜昌慈馨庭置业有限公司；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总占地0.87万方，总建面近2.5万方（其中临街商业面积约4000㎡，住宅面积约2万㎡），容积率2.8，绿化率38%，共150户，车位238个。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分布2栋高层建筑，1号楼地上27层，2号楼地上28层，两梯三户，可直面江景，且有6000㎡花园式绿地广场。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□主力户型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  A户型      3×2×2  133.96㎡    占比33%；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                  B户型      3×2×2  118.29㎡    占比33%；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  C户型      3×2×2  135.25㎡    占比33%；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A户型            B户型                      C户型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504950" cy="1200150"/>
                  <wp:effectExtent l="0" t="0" r="3810" b="3810"/>
                  <wp:docPr id="13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581150" cy="1200150"/>
                  <wp:effectExtent l="0" t="0" r="3810" b="3810"/>
                  <wp:docPr id="32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1819275" cy="1200150"/>
                  <wp:effectExtent l="0" t="0" r="9525" b="3810"/>
                  <wp:docPr id="17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□户型点评：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为打造江景房而考虑，整个户型面积设计偏大，最小的户型面积为118㎡，且主要为130㎡以上大户型。而在功能设计上绝大多数阳台开间设计较宽，且与卧室相连，景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观面扩大，舒适度增强；在布局上主要以动静分区的理念执行，使得空间有序、生活高效。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□项目动态：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中南皇庭12月20日vip全城开放，2万抵5万。中南皇庭营销中心已开放。2014年3月1日已开工建设，现为打桩阶段。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地段成熟，且拥有江景资源，居住舒适度高，但是其体量较小，会影响项目形象，不利于销售。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□围墙广告：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1143000"/>
                  <wp:effectExtent l="0" t="0" r="7620" b="0"/>
                  <wp:docPr id="31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1371600"/>
                  <wp:effectExtent l="0" t="0" r="7620" b="0"/>
                  <wp:docPr id="34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1333500"/>
                  <wp:effectExtent l="0" t="0" r="7620" b="7620"/>
                  <wp:docPr id="35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   三、开发区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5010150"/>
                  <wp:effectExtent l="0" t="0" r="0" b="3810"/>
                  <wp:docPr id="22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0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bookmarkStart w:id="42" w:name="_Toc384797628"/>
            <w:bookmarkEnd w:id="42"/>
            <w:bookmarkStart w:id="43" w:name="_Toc384797312"/>
            <w:bookmarkEnd w:id="43"/>
            <w:bookmarkStart w:id="44" w:name="_Toc384797230"/>
            <w:bookmarkEnd w:id="44"/>
            <w:bookmarkStart w:id="45" w:name="_Toc384796971"/>
            <w:bookmarkEnd w:id="45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bookmarkStart w:id="46" w:name="_Toc380050044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◎项目名称：三峡云计算大厦</w:t>
            </w:r>
            <w:bookmarkEnd w:id="46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809875" cy="2324100"/>
                  <wp:effectExtent l="0" t="0" r="9525" b="7620"/>
                  <wp:docPr id="4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东山开发区高新区发展大道57-6号（高新区管委会旁）；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湖北迅算创业园投资有限公司；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总占地2.08万方，总建面近12.6万方，容积率4.87，绿化率25%，共204多户，车位近1017个。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由1栋22层产业大楼、1栋23层培训中心楼、5层裙楼及11层综合服务楼组合而成。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□主力户型：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□户型点评：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76—287㎡房源共计204套。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其中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以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76-104㎡为主，占比为50%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，而134-141㎡与249-287㎡占比分别为17%、33%。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543175"/>
                  <wp:effectExtent l="0" t="0" r="0" b="1905"/>
                  <wp:docPr id="14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□项目动态：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一期写字楼已开盘在售，最低5288元/㎡起，现购房可享97折优惠；项目已全面封顶，正处于外墙装修阶段。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□项目点评：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紧靠发展大道且有3条公交线路可达，交通便捷；项目东面为海上皇宫、半山酒店等餐饮酒店设施，但项目周边缺少满足员工需求的餐饮配套。</w:t>
            </w:r>
            <w:bookmarkStart w:id="47" w:name="_Toc398024661"/>
            <w:bookmarkEnd w:id="47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   四、夷陵区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1、区内主要楼盘动态.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876800"/>
                  <wp:effectExtent l="0" t="0" r="0" b="0"/>
                  <wp:docPr id="18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◎项目名称：楚天虹桥澜岸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3238500" cy="2076450"/>
                  <wp:effectExtent l="0" t="0" r="7620" b="11430"/>
                  <wp:docPr id="19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夷陵区平湖大道与平云二路交汇处；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□开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宜昌楚天房地产有限公司；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 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总占地0.82万方，总建面近5.3万方，容积率5.1，绿化率13%，共273户，车位268个。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由1栋25层、2栋31层商住楼组合而成。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□主力户型：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A2户型   3×2×1  109㎡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   B1户型   3×2×2  147.68㎡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     B2户型   3×2×2  127.94㎡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   C2户型   3×2×2  115.40㎡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 A2户型                                   B1户型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43175" cy="2400300"/>
                  <wp:effectExtent l="0" t="0" r="1905" b="7620"/>
                  <wp:docPr id="39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819400" cy="2400300"/>
                  <wp:effectExtent l="0" t="0" r="0" b="7620"/>
                  <wp:docPr id="37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              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B2户型                          C2户型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695575" cy="2400300"/>
                  <wp:effectExtent l="0" t="0" r="1905" b="7620"/>
                  <wp:docPr id="45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3190875" cy="2400300"/>
                  <wp:effectExtent l="0" t="0" r="9525" b="7620"/>
                  <wp:docPr id="42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 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□户型点评：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功能布局合理，动静分离，全明三房设计，增加了采光与通透性；局部户型户内花园与大阳台设计，可蝶变为保姆房或健身房，大大提高了空间利用率。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□项目动态：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11月20日营销中心开放，同时启动3栋高层住宅认筹活动，认筹可享1万抵3万优惠，A栋和C栋11月20日封顶，预计2015年1月开盘。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地处夷陵区平湖大道与平云二路交汇处，周边配套相对完善，学校、超市步行约5分钟即可到达，该项目结合原生地貌黄柏河景观，以绵延“水景”为主线打造成时尚、生态的夷陵区黄柏河岸边稀缺一线江景房。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71750" cy="1733550"/>
                  <wp:effectExtent l="0" t="0" r="3810" b="3810"/>
                  <wp:docPr id="46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33650" cy="1733550"/>
                  <wp:effectExtent l="0" t="0" r="11430" b="3810"/>
                  <wp:docPr id="36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   五、点军区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bookmarkStart w:id="48" w:name="_Toc384797315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48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、区内主要在售楼盘动态：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4600575"/>
                  <wp:effectExtent l="0" t="0" r="0" b="1905"/>
                  <wp:docPr id="43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6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◎项目名称：磨基山旅游综合体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点军区江南大道磨基山；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□开 发 商：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湖北隆图置业有限公司 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总占地23.7万方，总建面近47万方，容积率2.0，绿化率33%，建筑密度17.2%。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由三峡古镇、国华锦都、江南财富中心三大部分组成。其中三峡古镇总建筑面积超17万方，建筑以本土峡江风情为主，局部装扮民国风情的院落式风情商业街区。国华锦都为住宅组成部分，含高层、小高层及双拼别墅，总建筑约为24万方。江南财富中心由高级写字楼、度假型会务酒店及大型购物中心组成，总建筑面积约6万方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鸟瞰图：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533650"/>
                  <wp:effectExtent l="0" t="0" r="0" b="11430"/>
                  <wp:docPr id="40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 □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主力户型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   F1户型      3×2×2    123㎡      占比67%；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                   F2户型      2×2×1    93.07㎡    占比33%；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 F1户型                                      F2户型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43175" cy="2266950"/>
                  <wp:effectExtent l="0" t="0" r="1905" b="3810"/>
                  <wp:docPr id="41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819400" cy="2266950"/>
                  <wp:effectExtent l="0" t="0" r="0" b="3810"/>
                  <wp:docPr id="38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□户型点评：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目前推出的高层户型以123㎡为主。在功能设计上卧室均带有飘窗，提升了卧室的舒适度；而在布局上，同样做到了动静分离的标准。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□项目动态：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6#、10#楼预计年底开盘。国华锦都别墅、住宅、商铺均接受预订，认筹2万抵3万。双拼别墅户型215-260㎡，高层户型区间为85—156㎡。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□项目点评：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与夷陵长江大桥相距较近，紧临江南大道，处五龙片区，地段相对成熟，且背靠磨基山，环境舒适宜人。项目规模较大，自身配套齐全。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    六、猇亭区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区内主要在售楼盘动态：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3781425"/>
                  <wp:effectExtent l="0" t="0" r="0" b="13335"/>
                  <wp:docPr id="44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  <w:lang w:val="en-US"/>
              </w:rPr>
              <w:t>第四部分   媒体监测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bookmarkStart w:id="49" w:name="_Toc398024665"/>
            <w:bookmarkEnd w:id="49"/>
            <w:bookmarkStart w:id="50" w:name="_Toc380050048"/>
            <w:bookmarkEnd w:id="50"/>
            <w:bookmarkStart w:id="51" w:name="_Toc353178142"/>
            <w:bookmarkEnd w:id="51"/>
            <w:bookmarkStart w:id="52" w:name="_Toc347757555"/>
            <w:bookmarkEnd w:id="52"/>
            <w:r>
              <w:rPr>
                <w:caps w:val="0"/>
                <w:spacing w:val="0"/>
                <w:lang w:val="en-US"/>
              </w:rPr>
              <w:t>    </w:t>
            </w:r>
            <w:bookmarkStart w:id="53" w:name="_Toc345167239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一、纸媒投放情况</w:t>
            </w:r>
            <w:bookmarkEnd w:id="53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 本月截止到31日，共有44个地产项目投放报纸广告，共计178篇。本月广告投放量较大的主要有共联商贸大市场、宜昌碧桂园、江南星城、清江尚玲珑及天玺等楼盘。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bookmarkStart w:id="54" w:name="_Toc398024666"/>
            <w:bookmarkEnd w:id="54"/>
            <w:bookmarkStart w:id="55" w:name="_Toc380050049"/>
            <w:bookmarkEnd w:id="55"/>
            <w:bookmarkStart w:id="56" w:name="_Toc353178143"/>
            <w:bookmarkEnd w:id="56"/>
            <w:bookmarkStart w:id="57" w:name="_Toc347757556"/>
            <w:bookmarkEnd w:id="57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   </w:t>
            </w:r>
            <w:bookmarkStart w:id="58" w:name="_Toc345167240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二、纸媒投放数据监测</w:t>
            </w:r>
            <w:bookmarkEnd w:id="58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1、报广投放时间段分析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本月投放量统计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47925" cy="1733550"/>
                  <wp:effectExtent l="0" t="0" r="5715" b="3810"/>
                  <wp:docPr id="1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447925" cy="1733550"/>
                  <wp:effectExtent l="0" t="0" r="5715" b="3810"/>
                  <wp:docPr id="57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本月报广投放量从时间上来看，主要集中在5日、12日、19日、26日及31日这5个时间点，绝大多数集中在周五。其中12日投放量达到巅峰，共计28篇，处周末且为“脱光节”，再者众楼盘做活动者较多。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2、投放媒体及版面分析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投放媒体及版面统计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638425" cy="1733550"/>
                  <wp:effectExtent l="0" t="0" r="13335" b="3810"/>
                  <wp:docPr id="58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886075" cy="1733550"/>
                  <wp:effectExtent l="0" t="0" r="9525" b="3810"/>
                  <wp:docPr id="59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本月三峡晚报投放量位居第一，共85篇，占纸媒总投放量的48%。三峡商报次之，共62篇，占纸媒总投放量的35%。投放版面集中在半版，占比55%；整版其次，占比为43%，整版投放较多的楼盘主要有共联商贸大市场、碧桂园及月星国际城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3、项目投放量分析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各楼盘本月纸媒投放量对比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334000" cy="2162175"/>
                  <wp:effectExtent l="0" t="0" r="0" b="1905"/>
                  <wp:docPr id="56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纸媒投放TOP 1、2、3：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共联商贸大市场、宜昌碧桂园、江南星城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52700" cy="1733550"/>
                  <wp:effectExtent l="0" t="0" r="7620" b="3810"/>
                  <wp:docPr id="49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24125" cy="1733550"/>
                  <wp:effectExtent l="0" t="0" r="5715" b="3810"/>
                  <wp:docPr id="53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本月共联商贸大市场共计投放报广11篇，以整版为主，市场月底即将开业。宜昌碧桂园共投放报广19篇，整版居多，大多为开盘信息；江南星城共投放报广8篇，多为半版，主要是送优惠。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纸媒投放TOP 4、5、6：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清江尚玲珑、天玺、星湖湾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24125" cy="1733550"/>
                  <wp:effectExtent l="0" t="0" r="5715" b="3810"/>
                  <wp:docPr id="52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524125" cy="1733550"/>
                  <wp:effectExtent l="0" t="0" r="5715" b="3810"/>
                  <wp:docPr id="48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本月恒大帝景共计投放报广8篇，全为半版，低首付低门槛首付4万起。天玺共计投放报广8篇，全为半版，别墅即将推出。星湖湾共计投放报广8篇，以半版为主，</w:t>
            </w:r>
            <w:bookmarkStart w:id="59" w:name="_Toc380050050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其17#楼即将发售。</w:t>
            </w:r>
            <w:bookmarkEnd w:id="59"/>
            <w:bookmarkStart w:id="60" w:name="_Toc398024667"/>
            <w:bookmarkEnd w:id="60"/>
            <w:bookmarkStart w:id="61" w:name="_Toc384796975"/>
            <w:bookmarkEnd w:id="61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    三、网络媒体监测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   </w:t>
            </w:r>
            <w:bookmarkStart w:id="62" w:name="_Toc380050051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62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、搜房网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</w:t>
            </w:r>
            <w:bookmarkStart w:id="63" w:name="_Toc380050052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本月在搜房网投放广告的主要有星湖湾3期、清江尚玲珑及恒信中央公园等楼盘。</w:t>
            </w:r>
            <w:bookmarkEnd w:id="63"/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923925"/>
                  <wp:effectExtent l="0" t="0" r="0" b="5715"/>
                  <wp:docPr id="47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2、搜狐焦点网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本月在搜狐焦点网上投放广告的主要有宜化巴黎香颂、宜化新天地及清江润城悦邸等项目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923925"/>
                  <wp:effectExtent l="0" t="0" r="0" b="5715"/>
                  <wp:docPr id="51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   </w:t>
            </w:r>
            <w:bookmarkStart w:id="64" w:name="_Toc380050055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3</w:t>
            </w:r>
            <w:bookmarkEnd w:id="64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、大楚网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  </w:t>
            </w:r>
            <w:bookmarkStart w:id="65" w:name="_Toc380050056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本月在大楚网上投放广告的主要有世纪山水、山水华庭及中兴国际花园等项目。</w:t>
            </w:r>
            <w:bookmarkEnd w:id="65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990600"/>
                  <wp:effectExtent l="0" t="0" r="0" b="0"/>
                  <wp:docPr id="55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 “双十二”、圣诞节及元旦节的到来，为开发商提供了较多素材进行投广，本月投广量要明显高于上月。目前市场行情仍未有较大改善，楼市活动频繁。如：天玺“顶级奢品”展、宜化新天地“熊猫展”、宜化巴黎香颂“恐龙展”、星湖湾举行“变形金刚展”、宜昌碧桂园首届“青年彩跑”及清江尚玲珑“圣诞迪士尼乐园大寻宝”活动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面对楼市的窘态，2014年房地产投广量明显加大，在活动上有量更有料，颇有力量。现已跨入新年，楼市也有了新的气象，在羊年里楼盘间借媒体呼喊之争将有所缓和。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 星湖湾“变形金刚展”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3124200" cy="1600200"/>
                  <wp:effectExtent l="0" t="0" r="0" b="0"/>
                  <wp:docPr id="50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2162175" cy="1600200"/>
                  <wp:effectExtent l="0" t="0" r="1905" b="0"/>
                  <wp:docPr id="54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</w:tr>
    </w:tbl>
    <w:p>
      <w:bookmarkStart w:id="66" w:name="_GoBack"/>
      <w:bookmarkEnd w:id="6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08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2019-09-30T02:47:00Z</dcterms:created>
  <dc:creator>HP</dc:creator>
  <cp:lastModifiedBy>joke</cp:lastModifiedBy>
  <dcterms:modified xsi:type="dcterms:W3CDTF">2019-09-30T02:51:17Z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