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8208" w:type="dxa"/>
        <w:jc w:val="center"/>
        <w:tblCellSpacing w:w="0" w:type="dxa"/>
        <w:tblInd w:w="49" w:type="dxa"/>
        <w:shd w:val="clear" w:color="auto" w:fill="FFFFFF"/>
        <w:tblLayout w:type="fixed"/>
        <w:tblCellMar>
          <w:top w:w="132" w:type="dxa"/>
          <w:left w:w="0" w:type="dxa"/>
          <w:bottom w:w="0" w:type="dxa"/>
          <w:right w:w="0" w:type="dxa"/>
        </w:tblCellMar>
      </w:tblPr>
      <w:tblGrid>
        <w:gridCol w:w="8208"/>
      </w:tblGrid>
      <w:tr>
        <w:tblPrEx>
          <w:shd w:val="clear" w:color="auto" w:fill="FFFFFF"/>
          <w:tblLayout w:type="fixed"/>
          <w:tblCellMar>
            <w:top w:w="132" w:type="dxa"/>
            <w:left w:w="0" w:type="dxa"/>
            <w:bottom w:w="0" w:type="dxa"/>
            <w:right w:w="0" w:type="dxa"/>
          </w:tblCellMar>
        </w:tblPrEx>
        <w:trPr>
          <w:trHeight w:val="420"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b/>
                <w:caps w:val="0"/>
                <w:color w:val="D00000"/>
                <w:spacing w:val="0"/>
                <w:sz w:val="16"/>
                <w:szCs w:val="16"/>
              </w:rPr>
            </w:pPr>
            <w:r>
              <w:rPr>
                <w:rFonts w:hint="eastAsia" w:ascii="宋体" w:hAnsi="宋体" w:eastAsia="宋体" w:cs="宋体"/>
                <w:b/>
                <w:caps w:val="0"/>
                <w:color w:val="D00000"/>
                <w:spacing w:val="0"/>
                <w:kern w:val="0"/>
                <w:sz w:val="16"/>
                <w:szCs w:val="16"/>
                <w:lang w:val="en-US" w:eastAsia="zh-CN" w:bidi="ar"/>
              </w:rPr>
              <w:t>2014年10月荆门市城区房地产市场分析报告</w:t>
            </w:r>
          </w:p>
        </w:tc>
      </w:tr>
      <w:tr>
        <w:tblPrEx>
          <w:shd w:val="clear" w:color="auto" w:fill="FFFFFF"/>
          <w:tblLayout w:type="fixed"/>
          <w:tblCellMar>
            <w:top w:w="132" w:type="dxa"/>
            <w:left w:w="0" w:type="dxa"/>
            <w:bottom w:w="0" w:type="dxa"/>
            <w:right w:w="0" w:type="dxa"/>
          </w:tblCellMar>
        </w:tblPrEx>
        <w:trPr>
          <w:trHeight w:val="301" w:hRule="atLeast"/>
          <w:tblCellSpacing w:w="0" w:type="dxa"/>
          <w:jc w:val="center"/>
        </w:trPr>
        <w:tc>
          <w:tcPr>
            <w:tcW w:w="8208" w:type="dxa"/>
            <w:shd w:val="clear" w:color="auto" w:fill="FFFFFF"/>
            <w:vAlign w:val="center"/>
          </w:tcPr>
          <w:p>
            <w:pPr>
              <w:keepNext w:val="0"/>
              <w:keepLines w:val="0"/>
              <w:widowControl/>
              <w:suppressLineNumbers w:val="0"/>
              <w:ind w:left="0" w:firstLine="0"/>
              <w:jc w:val="center"/>
              <w:rPr>
                <w:rFonts w:hint="eastAsia" w:ascii="宋体" w:hAnsi="宋体" w:eastAsia="宋体" w:cs="宋体"/>
                <w:caps w:val="0"/>
                <w:color w:val="6C5239"/>
                <w:spacing w:val="0"/>
                <w:sz w:val="14"/>
                <w:szCs w:val="14"/>
              </w:rPr>
            </w:pPr>
            <w:r>
              <w:rPr>
                <w:rFonts w:hint="eastAsia" w:ascii="宋体" w:hAnsi="宋体" w:eastAsia="宋体" w:cs="宋体"/>
                <w:caps w:val="0"/>
                <w:color w:val="6C5239"/>
                <w:spacing w:val="0"/>
                <w:kern w:val="0"/>
                <w:sz w:val="14"/>
                <w:szCs w:val="14"/>
                <w:lang w:val="en-US" w:eastAsia="zh-CN" w:bidi="ar"/>
              </w:rPr>
              <w:t>发布时间：11/19/2014 3:11:41 PM 浏览：2970</w:t>
            </w:r>
          </w:p>
        </w:tc>
      </w:tr>
    </w:tbl>
    <w:p>
      <w:pPr>
        <w:rPr>
          <w:vanish/>
          <w:sz w:val="24"/>
          <w:szCs w:val="24"/>
        </w:rPr>
      </w:pPr>
    </w:p>
    <w:tbl>
      <w:tblPr>
        <w:tblW w:w="8306" w:type="dxa"/>
        <w:tblCellSpacing w:w="0" w:type="dxa"/>
        <w:tblInd w:w="0" w:type="dxa"/>
        <w:shd w:val="clear" w:color="auto" w:fill="FFFFFF"/>
        <w:tblLayout w:type="fixed"/>
        <w:tblCellMar>
          <w:top w:w="0" w:type="dxa"/>
          <w:left w:w="0" w:type="dxa"/>
          <w:bottom w:w="0" w:type="dxa"/>
          <w:right w:w="0" w:type="dxa"/>
        </w:tblCellMar>
      </w:tblPr>
      <w:tblGrid>
        <w:gridCol w:w="4153"/>
        <w:gridCol w:w="4153"/>
      </w:tblGrid>
      <w:tr>
        <w:tblPrEx>
          <w:tblLayout w:type="fixed"/>
          <w:tblCellMar>
            <w:top w:w="0" w:type="dxa"/>
            <w:left w:w="0" w:type="dxa"/>
            <w:bottom w:w="0" w:type="dxa"/>
            <w:right w:w="0" w:type="dxa"/>
          </w:tblCellMar>
        </w:tblPrEx>
        <w:trPr>
          <w:tblCellSpacing w:w="0" w:type="dxa"/>
        </w:trPr>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c>
          <w:tcPr>
            <w:tcW w:w="4153" w:type="dxa"/>
            <w:shd w:val="clear" w:color="auto" w:fill="FFFFFF"/>
            <w:vAlign w:val="center"/>
          </w:tcPr>
          <w:p>
            <w:pPr>
              <w:keepNext w:val="0"/>
              <w:keepLines w:val="0"/>
              <w:widowControl/>
              <w:suppressLineNumbers w:val="0"/>
              <w:ind w:left="0" w:firstLine="0"/>
              <w:jc w:val="left"/>
              <w:rPr>
                <w:rFonts w:hint="eastAsia" w:ascii="宋体" w:hAnsi="宋体" w:eastAsia="宋体" w:cs="宋体"/>
                <w:caps w:val="0"/>
                <w:spacing w:val="0"/>
                <w:sz w:val="14"/>
                <w:szCs w:val="14"/>
              </w:rPr>
            </w:pPr>
            <w:r>
              <w:rPr>
                <w:rFonts w:hint="eastAsia" w:ascii="宋体" w:hAnsi="宋体" w:eastAsia="宋体" w:cs="宋体"/>
                <w:caps w:val="0"/>
                <w:spacing w:val="0"/>
                <w:kern w:val="0"/>
                <w:sz w:val="14"/>
                <w:szCs w:val="14"/>
                <w:lang w:val="en-US" w:eastAsia="zh-CN" w:bidi="ar"/>
              </w:rPr>
              <w:t> </w:t>
            </w:r>
          </w:p>
        </w:tc>
      </w:tr>
    </w:tbl>
    <w:p>
      <w:pPr>
        <w:rPr>
          <w:vanish/>
          <w:sz w:val="24"/>
          <w:szCs w:val="24"/>
        </w:rPr>
      </w:pPr>
    </w:p>
    <w:tbl>
      <w:tblPr>
        <w:tblW w:w="8306" w:type="dxa"/>
        <w:jc w:val="center"/>
        <w:tblCellSpacing w:w="0" w:type="dxa"/>
        <w:tblInd w:w="0" w:type="dxa"/>
        <w:shd w:val="clear" w:color="auto" w:fill="FFFFFF"/>
        <w:tblLayout w:type="fixed"/>
        <w:tblCellMar>
          <w:top w:w="0" w:type="dxa"/>
          <w:left w:w="0" w:type="dxa"/>
          <w:bottom w:w="0" w:type="dxa"/>
          <w:right w:w="0" w:type="dxa"/>
        </w:tblCellMar>
      </w:tblPr>
      <w:tblGrid>
        <w:gridCol w:w="8306"/>
      </w:tblGrid>
      <w:tr>
        <w:tblPrEx>
          <w:shd w:val="clear" w:color="auto" w:fill="FFFFFF"/>
          <w:tblLayout w:type="fixed"/>
          <w:tblCellMar>
            <w:top w:w="0" w:type="dxa"/>
            <w:left w:w="0" w:type="dxa"/>
            <w:bottom w:w="0" w:type="dxa"/>
            <w:right w:w="0" w:type="dxa"/>
          </w:tblCellMar>
        </w:tblPrEx>
        <w:trPr>
          <w:trHeight w:val="301" w:hRule="atLeast"/>
          <w:tblCellSpacing w:w="0" w:type="dxa"/>
          <w:jc w:val="center"/>
        </w:trPr>
        <w:tc>
          <w:tcPr>
            <w:tcW w:w="8306" w:type="dxa"/>
            <w:shd w:val="clear" w:color="auto" w:fill="FFFFFF"/>
            <w:vAlign w:val="center"/>
          </w:tcPr>
          <w:p>
            <w:pPr>
              <w:pStyle w:val="2"/>
              <w:keepNext w:val="0"/>
              <w:keepLines w:val="0"/>
              <w:widowControl/>
              <w:suppressLineNumbers w:val="0"/>
              <w:spacing w:line="24" w:lineRule="atLeast"/>
              <w:ind w:left="0" w:firstLine="0"/>
              <w:jc w:val="center"/>
            </w:pPr>
            <w:bookmarkStart w:id="0" w:name="_Toc403334975"/>
            <w:r>
              <w:rPr>
                <w:rFonts w:hint="eastAsia" w:ascii="宋体" w:hAnsi="宋体" w:eastAsia="宋体" w:cs="宋体"/>
                <w:caps w:val="0"/>
                <w:spacing w:val="0"/>
                <w:sz w:val="27"/>
                <w:szCs w:val="27"/>
              </w:rPr>
              <w:t>第一部分</w:t>
            </w:r>
            <w:r>
              <w:rPr>
                <w:rFonts w:hint="eastAsia" w:ascii="宋体" w:hAnsi="宋体" w:eastAsia="宋体" w:cs="宋体"/>
                <w:caps w:val="0"/>
                <w:spacing w:val="0"/>
                <w:sz w:val="27"/>
                <w:szCs w:val="27"/>
                <w:lang w:val="en-US"/>
              </w:rPr>
              <w:t>   </w:t>
            </w:r>
            <w:bookmarkEnd w:id="0"/>
            <w:r>
              <w:rPr>
                <w:rFonts w:hint="eastAsia" w:ascii="宋体" w:hAnsi="宋体" w:eastAsia="宋体" w:cs="宋体"/>
                <w:caps w:val="0"/>
                <w:spacing w:val="0"/>
                <w:sz w:val="27"/>
                <w:szCs w:val="27"/>
              </w:rPr>
              <w:t>楼市政策分析</w:t>
            </w:r>
            <w:bookmarkStart w:id="1" w:name="_Toc374521659"/>
            <w:bookmarkEnd w:id="1"/>
            <w:bookmarkStart w:id="2" w:name="_Toc372096367"/>
            <w:bookmarkEnd w:id="2"/>
            <w:bookmarkStart w:id="3" w:name="_Toc372095418"/>
            <w:bookmarkEnd w:id="3"/>
            <w:bookmarkStart w:id="4" w:name="_Toc372095337"/>
            <w:bookmarkEnd w:id="4"/>
            <w:bookmarkStart w:id="5" w:name="_Toc371849979"/>
            <w:bookmarkEnd w:id="5"/>
            <w:bookmarkStart w:id="6" w:name="_Toc371849854"/>
            <w:bookmarkEnd w:id="6"/>
            <w:bookmarkStart w:id="7" w:name="_Toc369853711"/>
            <w:bookmarkEnd w:id="7"/>
          </w:p>
          <w:p>
            <w:pPr>
              <w:pStyle w:val="4"/>
              <w:keepNext w:val="0"/>
              <w:keepLines w:val="0"/>
              <w:widowControl/>
              <w:suppressLineNumbers w:val="0"/>
              <w:spacing w:line="24" w:lineRule="atLeast"/>
            </w:pPr>
            <w:r>
              <w:rPr>
                <w:rFonts w:hint="eastAsia" w:ascii="宋体" w:hAnsi="宋体" w:eastAsia="宋体" w:cs="宋体"/>
                <w:caps w:val="0"/>
                <w:spacing w:val="0"/>
                <w:sz w:val="14"/>
                <w:szCs w:val="14"/>
              </w:rPr>
              <w:t> </w:t>
            </w:r>
          </w:p>
          <w:p>
            <w:pPr>
              <w:pStyle w:val="3"/>
              <w:keepNext w:val="0"/>
              <w:keepLines w:val="0"/>
              <w:widowControl/>
              <w:suppressLineNumbers w:val="0"/>
              <w:spacing w:line="24" w:lineRule="atLeast"/>
              <w:ind w:left="0" w:firstLine="562"/>
            </w:pPr>
            <w:bookmarkStart w:id="8" w:name="_Toc403334976"/>
            <w:bookmarkEnd w:id="8"/>
            <w:bookmarkStart w:id="9" w:name="_Toc398024652"/>
            <w:bookmarkEnd w:id="9"/>
            <w:bookmarkStart w:id="10" w:name="_Toc384797619"/>
            <w:bookmarkEnd w:id="10"/>
            <w:bookmarkStart w:id="11" w:name="_Toc384797303"/>
            <w:bookmarkEnd w:id="11"/>
            <w:bookmarkStart w:id="12" w:name="_Toc384797221"/>
            <w:bookmarkEnd w:id="12"/>
            <w:bookmarkStart w:id="13" w:name="_Toc384796962"/>
            <w:bookmarkEnd w:id="13"/>
            <w:bookmarkStart w:id="14" w:name="_Toc380050033"/>
            <w:bookmarkEnd w:id="14"/>
            <w:bookmarkStart w:id="15" w:name="_Toc347757543"/>
            <w:bookmarkEnd w:id="15"/>
            <w:bookmarkStart w:id="16" w:name="_Toc345167227"/>
            <w:r>
              <w:rPr>
                <w:rFonts w:hint="eastAsia" w:ascii="宋体" w:hAnsi="宋体" w:eastAsia="宋体" w:cs="宋体"/>
                <w:caps w:val="0"/>
                <w:spacing w:val="0"/>
                <w:sz w:val="20"/>
                <w:szCs w:val="20"/>
              </w:rPr>
              <w:t>一、本月楼市政策一览</w:t>
            </w:r>
            <w:bookmarkEnd w:id="16"/>
          </w:p>
          <w:p>
            <w:pPr>
              <w:pStyle w:val="4"/>
              <w:keepNext w:val="0"/>
              <w:keepLines w:val="0"/>
              <w:widowControl/>
              <w:suppressLineNumbers w:val="0"/>
              <w:spacing w:before="0" w:beforeAutospacing="1" w:after="0" w:afterAutospacing="1" w:line="24" w:lineRule="atLeast"/>
              <w:ind w:left="0" w:right="0" w:firstLine="562"/>
            </w:pPr>
            <w:r>
              <w:rPr>
                <w:rFonts w:hint="eastAsia" w:ascii="宋体" w:hAnsi="宋体" w:eastAsia="宋体" w:cs="宋体"/>
                <w:caps w:val="0"/>
                <w:spacing w:val="0"/>
                <w:sz w:val="14"/>
                <w:szCs w:val="14"/>
                <w:lang w:val="en-US"/>
              </w:rPr>
              <w:t>10</w:t>
            </w:r>
            <w:r>
              <w:rPr>
                <w:rFonts w:hint="eastAsia" w:ascii="宋体" w:hAnsi="宋体" w:eastAsia="宋体" w:cs="宋体"/>
                <w:caps w:val="0"/>
                <w:spacing w:val="0"/>
                <w:sz w:val="14"/>
                <w:szCs w:val="14"/>
              </w:rPr>
              <w:t>月</w:t>
            </w:r>
            <w:r>
              <w:rPr>
                <w:rFonts w:hint="eastAsia" w:ascii="宋体" w:hAnsi="宋体" w:eastAsia="宋体" w:cs="宋体"/>
                <w:caps w:val="0"/>
                <w:spacing w:val="0"/>
                <w:sz w:val="14"/>
                <w:szCs w:val="14"/>
                <w:lang w:val="en-US"/>
              </w:rPr>
              <w:t>9</w:t>
            </w:r>
            <w:r>
              <w:rPr>
                <w:rFonts w:hint="eastAsia" w:ascii="宋体" w:hAnsi="宋体" w:eastAsia="宋体" w:cs="宋体"/>
                <w:caps w:val="0"/>
                <w:spacing w:val="0"/>
                <w:sz w:val="14"/>
                <w:szCs w:val="14"/>
              </w:rPr>
              <w:t>日，住建部、财政部、央行：公积金异地互认，缴半年可贷款</w:t>
            </w:r>
          </w:p>
          <w:p>
            <w:pPr>
              <w:pStyle w:val="4"/>
              <w:keepNext w:val="0"/>
              <w:keepLines w:val="0"/>
              <w:widowControl/>
              <w:suppressLineNumbers w:val="0"/>
              <w:spacing w:before="0" w:beforeAutospacing="1" w:after="0" w:afterAutospacing="1" w:line="24" w:lineRule="atLeast"/>
              <w:ind w:left="0" w:right="0" w:firstLine="562"/>
            </w:pPr>
            <w:r>
              <w:rPr>
                <w:rFonts w:hint="eastAsia" w:ascii="宋体" w:hAnsi="宋体" w:eastAsia="宋体" w:cs="宋体"/>
                <w:b/>
                <w:caps w:val="0"/>
                <w:spacing w:val="0"/>
                <w:sz w:val="28"/>
                <w:szCs w:val="28"/>
                <w:lang w:val="en-US"/>
              </w:rPr>
              <w:drawing>
                <wp:inline distT="0" distB="0" distL="114300" distR="114300">
                  <wp:extent cx="3590925" cy="1466850"/>
                  <wp:effectExtent l="0" t="0" r="5715" b="1143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4"/>
                          <a:stretch>
                            <a:fillRect/>
                          </a:stretch>
                        </pic:blipFill>
                        <pic:spPr>
                          <a:xfrm>
                            <a:off x="0" y="0"/>
                            <a:ext cx="3590925" cy="1466850"/>
                          </a:xfrm>
                          <a:prstGeom prst="rect">
                            <a:avLst/>
                          </a:prstGeom>
                          <a:noFill/>
                          <a:ln w="9525">
                            <a:noFill/>
                          </a:ln>
                        </pic:spPr>
                      </pic:pic>
                    </a:graphicData>
                  </a:graphic>
                </wp:inline>
              </w:drawing>
            </w:r>
            <w:r>
              <w:rPr>
                <w:rFonts w:hint="eastAsia" w:ascii="宋体" w:hAnsi="宋体" w:eastAsia="宋体" w:cs="宋体"/>
                <w:b/>
                <w:caps w:val="0"/>
                <w:spacing w:val="0"/>
                <w:sz w:val="28"/>
                <w:szCs w:val="28"/>
                <w:lang w:val="en-US"/>
              </w:rPr>
              <w:drawing>
                <wp:inline distT="0" distB="0" distL="114300" distR="114300">
                  <wp:extent cx="1762125" cy="1466850"/>
                  <wp:effectExtent l="0" t="0" r="5715" b="1143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1762125" cy="1466850"/>
                          </a:xfrm>
                          <a:prstGeom prst="rect">
                            <a:avLst/>
                          </a:prstGeom>
                          <a:noFill/>
                          <a:ln w="9525">
                            <a:noFill/>
                          </a:ln>
                        </pic:spPr>
                      </pic:pic>
                    </a:graphicData>
                  </a:graphic>
                </wp:inline>
              </w:drawing>
            </w:r>
          </w:p>
          <w:p>
            <w:pPr>
              <w:pStyle w:val="4"/>
              <w:keepNext w:val="0"/>
              <w:keepLines w:val="0"/>
              <w:widowControl/>
              <w:suppressLineNumbers w:val="0"/>
              <w:spacing w:before="0" w:beforeAutospacing="1" w:after="0" w:afterAutospacing="1" w:line="288" w:lineRule="atLeast"/>
              <w:ind w:left="0" w:right="0" w:firstLine="561"/>
            </w:pPr>
            <w:r>
              <w:rPr>
                <w:rFonts w:hint="eastAsia" w:ascii="宋体" w:hAnsi="宋体" w:eastAsia="宋体" w:cs="宋体"/>
                <w:caps w:val="0"/>
                <w:spacing w:val="0"/>
                <w:sz w:val="20"/>
                <w:szCs w:val="20"/>
              </w:rPr>
              <w:t>Ø</w:t>
            </w:r>
            <w:r>
              <w:rPr>
                <w:rFonts w:ascii="Times New Roman" w:hAnsi="Times New Roman" w:eastAsia="宋体" w:cs="Times New Roman"/>
                <w:caps w:val="0"/>
                <w:spacing w:val="0"/>
                <w:sz w:val="14"/>
                <w:szCs w:val="14"/>
              </w:rPr>
              <w:t>  </w:t>
            </w:r>
            <w:r>
              <w:rPr>
                <w:rFonts w:hint="default" w:ascii="Times New Roman" w:hAnsi="Times New Roman" w:eastAsia="宋体" w:cs="Times New Roman"/>
                <w:caps w:val="0"/>
                <w:spacing w:val="0"/>
                <w:sz w:val="14"/>
                <w:szCs w:val="14"/>
              </w:rPr>
              <w:t> </w:t>
            </w:r>
            <w:r>
              <w:rPr>
                <w:rFonts w:hint="eastAsia" w:ascii="宋体" w:hAnsi="宋体" w:eastAsia="宋体" w:cs="宋体"/>
                <w:caps w:val="0"/>
                <w:spacing w:val="0"/>
                <w:sz w:val="20"/>
                <w:szCs w:val="20"/>
              </w:rPr>
              <w:t> </w:t>
            </w:r>
            <w:r>
              <w:rPr>
                <w:rStyle w:val="7"/>
                <w:rFonts w:hint="eastAsia" w:ascii="宋体" w:hAnsi="宋体" w:eastAsia="宋体" w:cs="宋体"/>
                <w:caps w:val="0"/>
                <w:spacing w:val="0"/>
                <w:sz w:val="20"/>
                <w:szCs w:val="20"/>
              </w:rPr>
              <w:t>内容简介</w:t>
            </w:r>
            <w:r>
              <w:rPr>
                <w:rFonts w:hint="eastAsia" w:ascii="宋体" w:hAnsi="宋体" w:eastAsia="宋体" w:cs="宋体"/>
                <w:caps w:val="0"/>
                <w:spacing w:val="0"/>
                <w:sz w:val="20"/>
                <w:szCs w:val="20"/>
              </w:rPr>
              <w:t>：三部门联合印发《关于发展住房公积金个人住房贷款业务的通知》，要求实现住房公积金缴存异地互认、转移接续，并推进异申请公积金房贷的连续缴存年限由</w:t>
            </w:r>
            <w:r>
              <w:rPr>
                <w:rFonts w:hint="eastAsia" w:ascii="宋体" w:hAnsi="宋体" w:eastAsia="宋体" w:cs="宋体"/>
                <w:caps w:val="0"/>
                <w:spacing w:val="0"/>
                <w:sz w:val="20"/>
                <w:szCs w:val="20"/>
                <w:lang w:val="en-US"/>
              </w:rPr>
              <w:t>12</w:t>
            </w:r>
            <w:r>
              <w:rPr>
                <w:rFonts w:hint="eastAsia" w:ascii="宋体" w:hAnsi="宋体" w:eastAsia="宋体" w:cs="宋体"/>
                <w:caps w:val="0"/>
                <w:spacing w:val="0"/>
                <w:sz w:val="20"/>
                <w:szCs w:val="20"/>
              </w:rPr>
              <w:t>个月减少至</w:t>
            </w:r>
            <w:r>
              <w:rPr>
                <w:rFonts w:hint="eastAsia" w:ascii="宋体" w:hAnsi="宋体" w:eastAsia="宋体" w:cs="宋体"/>
                <w:caps w:val="0"/>
                <w:spacing w:val="0"/>
                <w:sz w:val="20"/>
                <w:szCs w:val="20"/>
                <w:lang w:val="en-US"/>
              </w:rPr>
              <w:t>6</w:t>
            </w:r>
            <w:r>
              <w:rPr>
                <w:rFonts w:hint="eastAsia" w:ascii="宋体" w:hAnsi="宋体" w:eastAsia="宋体" w:cs="宋体"/>
                <w:caps w:val="0"/>
                <w:spacing w:val="0"/>
                <w:sz w:val="20"/>
                <w:szCs w:val="20"/>
              </w:rPr>
              <w:t>个月</w:t>
            </w:r>
            <w:r>
              <w:rPr>
                <w:rFonts w:hint="eastAsia" w:ascii="宋体" w:hAnsi="宋体" w:eastAsia="宋体" w:cs="宋体"/>
                <w:caps w:val="0"/>
                <w:spacing w:val="0"/>
                <w:sz w:val="24"/>
                <w:szCs w:val="24"/>
              </w:rPr>
              <w:t>。</w:t>
            </w:r>
          </w:p>
          <w:p>
            <w:pPr>
              <w:pStyle w:val="4"/>
              <w:keepNext w:val="0"/>
              <w:keepLines w:val="0"/>
              <w:widowControl/>
              <w:suppressLineNumbers w:val="0"/>
              <w:spacing w:before="0" w:beforeAutospacing="1" w:after="0" w:afterAutospacing="1" w:line="288" w:lineRule="atLeast"/>
              <w:ind w:left="0" w:right="0" w:firstLine="561"/>
            </w:pPr>
            <w:r>
              <w:rPr>
                <w:rFonts w:hint="eastAsia" w:ascii="宋体" w:hAnsi="宋体" w:eastAsia="宋体" w:cs="宋体"/>
                <w:caps w:val="0"/>
                <w:spacing w:val="0"/>
                <w:sz w:val="20"/>
                <w:szCs w:val="20"/>
              </w:rPr>
              <w:t>Ø</w:t>
            </w:r>
            <w:r>
              <w:rPr>
                <w:rFonts w:hint="default" w:ascii="Times New Roman" w:hAnsi="Times New Roman" w:eastAsia="宋体" w:cs="Times New Roman"/>
                <w:caps w:val="0"/>
                <w:spacing w:val="0"/>
                <w:sz w:val="14"/>
                <w:szCs w:val="14"/>
              </w:rPr>
              <w:t>  </w:t>
            </w:r>
            <w:r>
              <w:rPr>
                <w:rStyle w:val="7"/>
                <w:rFonts w:hint="default" w:ascii="Times New Roman" w:hAnsi="Times New Roman" w:eastAsia="宋体" w:cs="Times New Roman"/>
                <w:caps w:val="0"/>
                <w:spacing w:val="0"/>
                <w:sz w:val="14"/>
                <w:szCs w:val="14"/>
              </w:rPr>
              <w:t> </w:t>
            </w:r>
            <w:r>
              <w:rPr>
                <w:rStyle w:val="7"/>
                <w:rFonts w:hint="eastAsia" w:ascii="宋体" w:hAnsi="宋体" w:eastAsia="宋体" w:cs="宋体"/>
                <w:caps w:val="0"/>
                <w:spacing w:val="0"/>
                <w:sz w:val="20"/>
                <w:szCs w:val="20"/>
              </w:rPr>
              <w:t> 政策解读：</w:t>
            </w:r>
            <w:r>
              <w:rPr>
                <w:rFonts w:hint="eastAsia" w:ascii="宋体" w:hAnsi="宋体" w:eastAsia="宋体" w:cs="宋体"/>
                <w:caps w:val="0"/>
                <w:spacing w:val="0"/>
                <w:sz w:val="20"/>
                <w:szCs w:val="20"/>
              </w:rPr>
              <w:t>住房公积金能够实现异地使用及缩短了缴存时间，这将有助于购房需求的释放。</w:t>
            </w:r>
          </w:p>
          <w:p>
            <w:pPr>
              <w:pStyle w:val="4"/>
              <w:keepNext w:val="0"/>
              <w:keepLines w:val="0"/>
              <w:widowControl/>
              <w:suppressLineNumbers w:val="0"/>
              <w:spacing w:before="0" w:beforeAutospacing="1" w:after="0" w:afterAutospacing="1" w:line="24" w:lineRule="atLeast"/>
              <w:ind w:left="0" w:right="0" w:firstLine="562"/>
            </w:pPr>
            <w:r>
              <w:rPr>
                <w:rStyle w:val="7"/>
                <w:rFonts w:hint="eastAsia" w:ascii="宋体" w:hAnsi="宋体" w:eastAsia="宋体" w:cs="宋体"/>
                <w:caps w:val="0"/>
                <w:spacing w:val="0"/>
                <w:sz w:val="20"/>
                <w:szCs w:val="20"/>
              </w:rPr>
              <w:t>10</w:t>
            </w:r>
            <w:r>
              <w:rPr>
                <w:rStyle w:val="7"/>
                <w:rFonts w:hint="eastAsia" w:ascii="宋体" w:hAnsi="宋体" w:eastAsia="宋体" w:cs="宋体"/>
                <w:caps w:val="0"/>
                <w:spacing w:val="0"/>
                <w:sz w:val="20"/>
                <w:szCs w:val="20"/>
                <w:lang w:val="en-US"/>
              </w:rPr>
              <w:t>月17日，国土部：</w:t>
            </w:r>
            <w:r>
              <w:rPr>
                <w:rStyle w:val="7"/>
                <w:rFonts w:hint="eastAsia" w:ascii="宋体" w:hAnsi="宋体" w:eastAsia="宋体" w:cs="宋体"/>
                <w:caps w:val="0"/>
                <w:spacing w:val="0"/>
                <w:sz w:val="20"/>
                <w:szCs w:val="20"/>
              </w:rPr>
              <w:t>设施农用地不得用于非农建设</w:t>
            </w:r>
          </w:p>
          <w:p>
            <w:pPr>
              <w:pStyle w:val="4"/>
              <w:keepNext w:val="0"/>
              <w:keepLines w:val="0"/>
              <w:widowControl/>
              <w:suppressLineNumbers w:val="0"/>
              <w:spacing w:before="0" w:beforeAutospacing="1" w:after="0" w:afterAutospacing="1" w:line="24" w:lineRule="atLeast"/>
              <w:ind w:left="0" w:right="0" w:firstLine="562"/>
            </w:pPr>
            <w:r>
              <w:rPr>
                <w:rStyle w:val="7"/>
                <w:rFonts w:hint="eastAsia" w:ascii="宋体" w:hAnsi="宋体" w:eastAsia="宋体" w:cs="宋体"/>
                <w:caps w:val="0"/>
                <w:spacing w:val="0"/>
                <w:sz w:val="20"/>
                <w:szCs w:val="20"/>
              </w:rPr>
              <w:t>    </w:t>
            </w:r>
            <w:r>
              <w:rPr>
                <w:rStyle w:val="7"/>
                <w:rFonts w:hint="eastAsia" w:ascii="宋体" w:hAnsi="宋体" w:eastAsia="宋体" w:cs="宋体"/>
                <w:caps w:val="0"/>
                <w:spacing w:val="0"/>
                <w:sz w:val="20"/>
                <w:szCs w:val="20"/>
              </w:rPr>
              <w:drawing>
                <wp:inline distT="0" distB="0" distL="114300" distR="114300">
                  <wp:extent cx="2362200" cy="1733550"/>
                  <wp:effectExtent l="0" t="0" r="0" b="3810"/>
                  <wp:docPr id="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6"/>
                          <a:stretch>
                            <a:fillRect/>
                          </a:stretch>
                        </pic:blipFill>
                        <pic:spPr>
                          <a:xfrm>
                            <a:off x="0" y="0"/>
                            <a:ext cx="2362200" cy="1733550"/>
                          </a:xfrm>
                          <a:prstGeom prst="rect">
                            <a:avLst/>
                          </a:prstGeom>
                          <a:noFill/>
                          <a:ln w="9525">
                            <a:noFill/>
                          </a:ln>
                        </pic:spPr>
                      </pic:pic>
                    </a:graphicData>
                  </a:graphic>
                </wp:inline>
              </w:drawing>
            </w:r>
            <w:r>
              <w:rPr>
                <w:rStyle w:val="7"/>
                <w:rFonts w:hint="eastAsia" w:ascii="宋体" w:hAnsi="宋体" w:eastAsia="宋体" w:cs="宋体"/>
                <w:caps w:val="0"/>
                <w:spacing w:val="0"/>
                <w:sz w:val="20"/>
                <w:szCs w:val="20"/>
              </w:rPr>
              <w:t>   </w:t>
            </w:r>
            <w:r>
              <w:rPr>
                <w:rStyle w:val="7"/>
                <w:rFonts w:hint="eastAsia" w:ascii="宋体" w:hAnsi="宋体" w:eastAsia="宋体" w:cs="宋体"/>
                <w:caps w:val="0"/>
                <w:spacing w:val="0"/>
                <w:sz w:val="20"/>
                <w:szCs w:val="20"/>
              </w:rPr>
              <w:drawing>
                <wp:inline distT="0" distB="0" distL="114300" distR="114300">
                  <wp:extent cx="2486025" cy="1733550"/>
                  <wp:effectExtent l="0" t="0" r="13335" b="3810"/>
                  <wp:docPr id="1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9"/>
                          <pic:cNvPicPr>
                            <a:picLocks noChangeAspect="1"/>
                          </pic:cNvPicPr>
                        </pic:nvPicPr>
                        <pic:blipFill>
                          <a:blip r:embed="rId7"/>
                          <a:stretch>
                            <a:fillRect/>
                          </a:stretch>
                        </pic:blipFill>
                        <pic:spPr>
                          <a:xfrm>
                            <a:off x="0" y="0"/>
                            <a:ext cx="2486025" cy="1733550"/>
                          </a:xfrm>
                          <a:prstGeom prst="rect">
                            <a:avLst/>
                          </a:prstGeom>
                          <a:noFill/>
                          <a:ln w="9525">
                            <a:noFill/>
                          </a:ln>
                        </pic:spPr>
                      </pic:pic>
                    </a:graphicData>
                  </a:graphic>
                </wp:inline>
              </w:drawing>
            </w:r>
          </w:p>
          <w:p>
            <w:pPr>
              <w:pStyle w:val="4"/>
              <w:keepNext w:val="0"/>
              <w:keepLines w:val="0"/>
              <w:widowControl/>
              <w:suppressLineNumbers w:val="0"/>
              <w:spacing w:before="0" w:beforeAutospacing="1" w:after="0" w:afterAutospacing="1" w:line="24" w:lineRule="atLeast"/>
              <w:ind w:left="0" w:right="0" w:firstLine="562"/>
            </w:pPr>
            <w:r>
              <w:rPr>
                <w:rStyle w:val="7"/>
                <w:rFonts w:hint="eastAsia" w:ascii="宋体" w:hAnsi="宋体" w:eastAsia="宋体" w:cs="宋体"/>
                <w:caps w:val="0"/>
                <w:spacing w:val="0"/>
                <w:sz w:val="20"/>
                <w:szCs w:val="20"/>
              </w:rPr>
              <w:t> </w:t>
            </w:r>
          </w:p>
          <w:p>
            <w:pPr>
              <w:pStyle w:val="4"/>
              <w:keepNext w:val="0"/>
              <w:keepLines w:val="0"/>
              <w:widowControl/>
              <w:suppressLineNumbers w:val="0"/>
              <w:spacing w:before="0" w:beforeAutospacing="1" w:after="0" w:afterAutospacing="1" w:line="312" w:lineRule="atLeast"/>
              <w:ind w:left="0" w:right="0" w:firstLine="560"/>
            </w:pPr>
            <w:r>
              <w:rPr>
                <w:rFonts w:hint="eastAsia" w:ascii="宋体" w:hAnsi="宋体" w:eastAsia="宋体" w:cs="宋体"/>
                <w:caps w:val="0"/>
                <w:spacing w:val="0"/>
                <w:sz w:val="20"/>
                <w:szCs w:val="20"/>
              </w:rPr>
              <w:t>Ø</w:t>
            </w:r>
            <w:r>
              <w:rPr>
                <w:rFonts w:hint="default" w:ascii="Times New Roman" w:hAnsi="Times New Roman" w:eastAsia="宋体" w:cs="Times New Roman"/>
                <w:caps w:val="0"/>
                <w:spacing w:val="0"/>
                <w:sz w:val="14"/>
                <w:szCs w:val="14"/>
              </w:rPr>
              <w:t>   </w:t>
            </w:r>
            <w:r>
              <w:rPr>
                <w:rFonts w:hint="eastAsia" w:ascii="宋体" w:hAnsi="宋体" w:eastAsia="宋体" w:cs="宋体"/>
                <w:caps w:val="0"/>
                <w:spacing w:val="0"/>
                <w:sz w:val="20"/>
                <w:szCs w:val="20"/>
              </w:rPr>
              <w:t> </w:t>
            </w:r>
            <w:r>
              <w:rPr>
                <w:rStyle w:val="7"/>
                <w:rFonts w:hint="eastAsia" w:ascii="宋体" w:hAnsi="宋体" w:eastAsia="宋体" w:cs="宋体"/>
                <w:caps w:val="0"/>
                <w:spacing w:val="0"/>
                <w:sz w:val="20"/>
                <w:szCs w:val="20"/>
              </w:rPr>
              <w:t>内容简介：</w:t>
            </w:r>
            <w:r>
              <w:rPr>
                <w:rFonts w:hint="eastAsia" w:ascii="宋体" w:hAnsi="宋体" w:eastAsia="宋体" w:cs="宋体"/>
                <w:caps w:val="0"/>
                <w:spacing w:val="0"/>
                <w:sz w:val="20"/>
                <w:szCs w:val="20"/>
              </w:rPr>
              <w:t>国土部公布《关于进一步支持设施农业健康发展的通知》，严格禁止借发展设施农业为名，变相建设小产权房、别墅等将</w:t>
            </w:r>
            <w:r>
              <w:rPr>
                <w:rFonts w:hint="eastAsia" w:ascii="宋体" w:hAnsi="宋体" w:eastAsia="宋体" w:cs="宋体"/>
                <w:caps w:val="0"/>
                <w:spacing w:val="0"/>
                <w:sz w:val="20"/>
                <w:szCs w:val="20"/>
                <w:shd w:val="clear" w:fill="D9D9D9"/>
              </w:rPr>
              <w:t>设施农用地</w:t>
            </w:r>
            <w:r>
              <w:rPr>
                <w:rFonts w:hint="eastAsia" w:ascii="宋体" w:hAnsi="宋体" w:eastAsia="宋体" w:cs="宋体"/>
                <w:caps w:val="0"/>
                <w:spacing w:val="0"/>
                <w:sz w:val="20"/>
                <w:szCs w:val="20"/>
              </w:rPr>
              <w:t>用于非农建设的做法。</w:t>
            </w:r>
          </w:p>
          <w:p>
            <w:pPr>
              <w:pStyle w:val="4"/>
              <w:keepNext w:val="0"/>
              <w:keepLines w:val="0"/>
              <w:widowControl/>
              <w:suppressLineNumbers w:val="0"/>
              <w:spacing w:before="0" w:beforeAutospacing="1" w:after="0" w:afterAutospacing="1" w:line="312" w:lineRule="atLeast"/>
              <w:ind w:left="0" w:right="0" w:firstLine="562"/>
            </w:pPr>
            <w:r>
              <w:rPr>
                <w:rFonts w:hint="eastAsia" w:ascii="宋体" w:hAnsi="宋体" w:eastAsia="宋体" w:cs="宋体"/>
                <w:caps w:val="0"/>
                <w:spacing w:val="0"/>
                <w:sz w:val="20"/>
                <w:szCs w:val="20"/>
              </w:rPr>
              <w:t>Ø</w:t>
            </w:r>
            <w:r>
              <w:rPr>
                <w:rFonts w:hint="default" w:ascii="Times New Roman" w:hAnsi="Times New Roman" w:eastAsia="宋体" w:cs="Times New Roman"/>
                <w:caps w:val="0"/>
                <w:spacing w:val="0"/>
                <w:sz w:val="14"/>
                <w:szCs w:val="14"/>
              </w:rPr>
              <w:t>   </w:t>
            </w:r>
            <w:r>
              <w:rPr>
                <w:rStyle w:val="7"/>
                <w:rFonts w:hint="eastAsia" w:ascii="宋体" w:hAnsi="宋体" w:eastAsia="宋体" w:cs="宋体"/>
                <w:caps w:val="0"/>
                <w:spacing w:val="0"/>
                <w:sz w:val="20"/>
                <w:szCs w:val="20"/>
              </w:rPr>
              <w:t> 政策解读</w:t>
            </w:r>
            <w:r>
              <w:rPr>
                <w:rFonts w:hint="eastAsia" w:ascii="宋体" w:hAnsi="宋体" w:eastAsia="宋体" w:cs="宋体"/>
                <w:caps w:val="0"/>
                <w:spacing w:val="0"/>
                <w:sz w:val="20"/>
                <w:szCs w:val="20"/>
              </w:rPr>
              <w:t>：这是对“农地入市”的补充说明，进一步规范了农村土地进入市场的标准，从而也对房地产市场土地开发起到了指导性的作用。</w:t>
            </w:r>
          </w:p>
          <w:p>
            <w:pPr>
              <w:pStyle w:val="4"/>
              <w:keepNext w:val="0"/>
              <w:keepLines w:val="0"/>
              <w:widowControl/>
              <w:suppressLineNumbers w:val="0"/>
              <w:spacing w:before="0" w:beforeAutospacing="1" w:after="0" w:afterAutospacing="1" w:line="234" w:lineRule="atLeast"/>
              <w:ind w:left="0" w:right="0" w:firstLine="561"/>
            </w:pPr>
            <w:r>
              <w:rPr>
                <w:rFonts w:hint="eastAsia" w:ascii="宋体" w:hAnsi="宋体" w:eastAsia="宋体" w:cs="宋体"/>
                <w:caps w:val="0"/>
                <w:spacing w:val="0"/>
                <w:sz w:val="20"/>
                <w:szCs w:val="20"/>
              </w:rPr>
              <w:t>Ø</w:t>
            </w:r>
            <w:r>
              <w:rPr>
                <w:rFonts w:hint="default" w:ascii="Times New Roman" w:hAnsi="Times New Roman" w:eastAsia="宋体" w:cs="Times New Roman"/>
                <w:caps w:val="0"/>
                <w:spacing w:val="0"/>
                <w:sz w:val="14"/>
                <w:szCs w:val="14"/>
              </w:rPr>
              <w:t>    </w:t>
            </w:r>
            <w:r>
              <w:rPr>
                <w:rFonts w:hint="eastAsia" w:ascii="宋体" w:hAnsi="宋体" w:eastAsia="宋体" w:cs="宋体"/>
                <w:caps w:val="0"/>
                <w:spacing w:val="0"/>
                <w:sz w:val="20"/>
                <w:szCs w:val="20"/>
              </w:rPr>
              <w:t> 备注：</w:t>
            </w:r>
            <w:r>
              <w:rPr>
                <w:rFonts w:hint="eastAsia" w:ascii="宋体" w:hAnsi="宋体" w:eastAsia="宋体" w:cs="宋体"/>
                <w:caps w:val="0"/>
                <w:spacing w:val="0"/>
                <w:sz w:val="20"/>
                <w:szCs w:val="20"/>
                <w:shd w:val="clear" w:fill="D9D9D9"/>
              </w:rPr>
              <w:t>设施农用地是指用于农业生产的设施用地，如：直接用于经营性养殖的畜禽舍、工厂化作物栽培或水产养殖的生产设施用地及其相应附属设施用地，农村宅基地以外的晾晒场等农业设施用地。</w:t>
            </w:r>
          </w:p>
          <w:p>
            <w:pPr>
              <w:pStyle w:val="4"/>
              <w:keepNext w:val="0"/>
              <w:keepLines w:val="0"/>
              <w:widowControl/>
              <w:suppressLineNumbers w:val="0"/>
              <w:spacing w:before="0" w:beforeAutospacing="1" w:after="0" w:afterAutospacing="1" w:line="24" w:lineRule="atLeast"/>
              <w:ind w:left="0" w:right="0" w:firstLine="562"/>
            </w:pPr>
            <w:r>
              <w:rPr>
                <w:rStyle w:val="7"/>
                <w:rFonts w:hint="eastAsia" w:ascii="宋体" w:hAnsi="宋体" w:eastAsia="宋体" w:cs="宋体"/>
                <w:caps w:val="0"/>
                <w:spacing w:val="0"/>
                <w:sz w:val="20"/>
                <w:szCs w:val="20"/>
              </w:rPr>
              <w:t>10</w:t>
            </w:r>
            <w:r>
              <w:rPr>
                <w:rStyle w:val="7"/>
                <w:rFonts w:hint="eastAsia" w:ascii="宋体" w:hAnsi="宋体" w:eastAsia="宋体" w:cs="宋体"/>
                <w:caps w:val="0"/>
                <w:spacing w:val="0"/>
                <w:sz w:val="20"/>
                <w:szCs w:val="20"/>
                <w:lang w:val="en-US"/>
              </w:rPr>
              <w:t>月</w:t>
            </w:r>
            <w:r>
              <w:rPr>
                <w:rStyle w:val="7"/>
                <w:rFonts w:hint="eastAsia" w:ascii="宋体" w:hAnsi="宋体" w:eastAsia="宋体" w:cs="宋体"/>
                <w:caps w:val="0"/>
                <w:spacing w:val="0"/>
                <w:sz w:val="20"/>
                <w:szCs w:val="20"/>
              </w:rPr>
              <w:t>25</w:t>
            </w:r>
            <w:r>
              <w:rPr>
                <w:rStyle w:val="7"/>
                <w:rFonts w:hint="eastAsia" w:ascii="宋体" w:hAnsi="宋体" w:eastAsia="宋体" w:cs="宋体"/>
                <w:caps w:val="0"/>
                <w:spacing w:val="0"/>
                <w:sz w:val="20"/>
                <w:szCs w:val="20"/>
                <w:lang w:val="en-US"/>
              </w:rPr>
              <w:t>日，交通部：长江经济带建设的分工方案通过</w:t>
            </w:r>
          </w:p>
          <w:p>
            <w:pPr>
              <w:pStyle w:val="4"/>
              <w:keepNext w:val="0"/>
              <w:keepLines w:val="0"/>
              <w:widowControl/>
              <w:suppressLineNumbers w:val="0"/>
              <w:spacing w:before="0" w:beforeAutospacing="1" w:after="0" w:afterAutospacing="1" w:line="24" w:lineRule="atLeast"/>
              <w:ind w:left="0" w:right="0" w:firstLine="562"/>
            </w:pPr>
            <w:r>
              <w:rPr>
                <w:rStyle w:val="7"/>
                <w:rFonts w:hint="eastAsia" w:ascii="宋体" w:hAnsi="宋体" w:eastAsia="宋体" w:cs="宋体"/>
                <w:caps w:val="0"/>
                <w:spacing w:val="0"/>
                <w:sz w:val="20"/>
                <w:szCs w:val="20"/>
              </w:rPr>
              <w:t>             </w:t>
            </w:r>
            <w:r>
              <w:rPr>
                <w:rStyle w:val="7"/>
                <w:rFonts w:hint="eastAsia" w:ascii="宋体" w:hAnsi="宋体" w:eastAsia="宋体" w:cs="宋体"/>
                <w:caps w:val="0"/>
                <w:spacing w:val="0"/>
                <w:sz w:val="20"/>
                <w:szCs w:val="20"/>
              </w:rPr>
              <w:drawing>
                <wp:inline distT="0" distB="0" distL="114300" distR="114300">
                  <wp:extent cx="2105025" cy="1733550"/>
                  <wp:effectExtent l="0" t="0" r="13335" b="3810"/>
                  <wp:docPr id="1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60"/>
                          <pic:cNvPicPr>
                            <a:picLocks noChangeAspect="1"/>
                          </pic:cNvPicPr>
                        </pic:nvPicPr>
                        <pic:blipFill>
                          <a:blip r:embed="rId8"/>
                          <a:stretch>
                            <a:fillRect/>
                          </a:stretch>
                        </pic:blipFill>
                        <pic:spPr>
                          <a:xfrm>
                            <a:off x="0" y="0"/>
                            <a:ext cx="2105025" cy="1733550"/>
                          </a:xfrm>
                          <a:prstGeom prst="rect">
                            <a:avLst/>
                          </a:prstGeom>
                          <a:noFill/>
                          <a:ln w="9525">
                            <a:noFill/>
                          </a:ln>
                        </pic:spPr>
                      </pic:pic>
                    </a:graphicData>
                  </a:graphic>
                </wp:inline>
              </w:drawing>
            </w:r>
            <w:r>
              <w:rPr>
                <w:rStyle w:val="7"/>
                <w:rFonts w:hint="eastAsia" w:ascii="宋体" w:hAnsi="宋体" w:eastAsia="宋体" w:cs="宋体"/>
                <w:caps w:val="0"/>
                <w:spacing w:val="0"/>
                <w:sz w:val="20"/>
                <w:szCs w:val="20"/>
              </w:rPr>
              <w:drawing>
                <wp:inline distT="0" distB="0" distL="114300" distR="114300">
                  <wp:extent cx="3000375" cy="1733550"/>
                  <wp:effectExtent l="0" t="0" r="1905" b="3810"/>
                  <wp:docPr id="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IMG_261"/>
                          <pic:cNvPicPr>
                            <a:picLocks noChangeAspect="1"/>
                          </pic:cNvPicPr>
                        </pic:nvPicPr>
                        <pic:blipFill>
                          <a:blip r:embed="rId9"/>
                          <a:stretch>
                            <a:fillRect/>
                          </a:stretch>
                        </pic:blipFill>
                        <pic:spPr>
                          <a:xfrm>
                            <a:off x="0" y="0"/>
                            <a:ext cx="3000375" cy="1733550"/>
                          </a:xfrm>
                          <a:prstGeom prst="rect">
                            <a:avLst/>
                          </a:prstGeom>
                          <a:noFill/>
                          <a:ln w="9525">
                            <a:noFill/>
                          </a:ln>
                        </pic:spPr>
                      </pic:pic>
                    </a:graphicData>
                  </a:graphic>
                </wp:inline>
              </w:drawing>
            </w:r>
          </w:p>
          <w:p>
            <w:pPr>
              <w:pStyle w:val="4"/>
              <w:keepNext w:val="0"/>
              <w:keepLines w:val="0"/>
              <w:widowControl/>
              <w:suppressLineNumbers w:val="0"/>
              <w:spacing w:before="0" w:beforeAutospacing="1" w:after="0" w:afterAutospacing="1" w:line="24" w:lineRule="atLeast"/>
              <w:ind w:left="0" w:right="0" w:firstLine="562"/>
            </w:pPr>
            <w:r>
              <w:rPr>
                <w:rStyle w:val="7"/>
                <w:rFonts w:hint="eastAsia" w:ascii="宋体" w:hAnsi="宋体" w:eastAsia="宋体" w:cs="宋体"/>
                <w:caps w:val="0"/>
                <w:spacing w:val="0"/>
                <w:sz w:val="20"/>
                <w:szCs w:val="20"/>
              </w:rPr>
              <w:t> </w:t>
            </w:r>
          </w:p>
          <w:p>
            <w:pPr>
              <w:pStyle w:val="4"/>
              <w:keepNext w:val="0"/>
              <w:keepLines w:val="0"/>
              <w:widowControl/>
              <w:suppressLineNumbers w:val="0"/>
              <w:spacing w:before="0" w:beforeAutospacing="1" w:after="0" w:afterAutospacing="1" w:line="312" w:lineRule="atLeast"/>
              <w:ind w:left="0" w:right="0" w:firstLine="560"/>
            </w:pPr>
            <w:r>
              <w:rPr>
                <w:rFonts w:hint="eastAsia" w:ascii="宋体" w:hAnsi="宋体" w:eastAsia="宋体" w:cs="宋体"/>
                <w:caps w:val="0"/>
                <w:spacing w:val="0"/>
                <w:sz w:val="20"/>
                <w:szCs w:val="20"/>
              </w:rPr>
              <w:t>Ø</w:t>
            </w:r>
            <w:r>
              <w:rPr>
                <w:rFonts w:hint="default" w:ascii="Times New Roman" w:hAnsi="Times New Roman" w:eastAsia="宋体" w:cs="Times New Roman"/>
                <w:caps w:val="0"/>
                <w:spacing w:val="0"/>
                <w:sz w:val="14"/>
                <w:szCs w:val="14"/>
              </w:rPr>
              <w:t>   </w:t>
            </w:r>
            <w:r>
              <w:rPr>
                <w:rStyle w:val="7"/>
                <w:rFonts w:hint="eastAsia" w:ascii="宋体" w:hAnsi="宋体" w:eastAsia="宋体" w:cs="宋体"/>
                <w:caps w:val="0"/>
                <w:spacing w:val="0"/>
                <w:sz w:val="20"/>
                <w:szCs w:val="20"/>
              </w:rPr>
              <w:t>内容简介：</w:t>
            </w:r>
            <w:r>
              <w:rPr>
                <w:rFonts w:hint="eastAsia" w:ascii="宋体" w:hAnsi="宋体" w:eastAsia="宋体" w:cs="宋体"/>
                <w:caps w:val="0"/>
                <w:spacing w:val="0"/>
                <w:sz w:val="20"/>
                <w:szCs w:val="20"/>
              </w:rPr>
              <w:t>交通部部务会议审议通过《贯彻落实</w:t>
            </w:r>
            <w:r>
              <w:rPr>
                <w:rFonts w:hint="eastAsia" w:ascii="宋体" w:hAnsi="宋体" w:eastAsia="宋体" w:cs="宋体"/>
                <w:caps w:val="0"/>
                <w:spacing w:val="0"/>
                <w:sz w:val="20"/>
                <w:szCs w:val="20"/>
                <w:lang w:val="en-US"/>
              </w:rPr>
              <w:t>&lt;</w:t>
            </w:r>
            <w:r>
              <w:rPr>
                <w:rFonts w:hint="eastAsia" w:ascii="宋体" w:hAnsi="宋体" w:eastAsia="宋体" w:cs="宋体"/>
                <w:caps w:val="0"/>
                <w:spacing w:val="0"/>
                <w:sz w:val="20"/>
                <w:szCs w:val="20"/>
              </w:rPr>
              <w:t>国务院关于依托黄金水道推动</w:t>
            </w:r>
            <w:r>
              <w:rPr>
                <w:rFonts w:hint="eastAsia" w:ascii="宋体" w:hAnsi="宋体" w:eastAsia="宋体" w:cs="宋体"/>
                <w:caps w:val="0"/>
                <w:spacing w:val="0"/>
                <w:sz w:val="20"/>
                <w:szCs w:val="20"/>
                <w:shd w:val="clear" w:fill="D9D9D9"/>
              </w:rPr>
              <w:t>长江经济带</w:t>
            </w:r>
            <w:r>
              <w:rPr>
                <w:rFonts w:hint="eastAsia" w:ascii="宋体" w:hAnsi="宋体" w:eastAsia="宋体" w:cs="宋体"/>
                <w:caps w:val="0"/>
                <w:spacing w:val="0"/>
                <w:sz w:val="20"/>
                <w:szCs w:val="20"/>
              </w:rPr>
              <w:t>发展的指导意见</w:t>
            </w:r>
            <w:r>
              <w:rPr>
                <w:rFonts w:hint="eastAsia" w:ascii="宋体" w:hAnsi="宋体" w:eastAsia="宋体" w:cs="宋体"/>
                <w:caps w:val="0"/>
                <w:spacing w:val="0"/>
                <w:sz w:val="20"/>
                <w:szCs w:val="20"/>
                <w:lang w:val="en-US"/>
              </w:rPr>
              <w:t>&gt;</w:t>
            </w:r>
            <w:r>
              <w:rPr>
                <w:rFonts w:hint="eastAsia" w:ascii="宋体" w:hAnsi="宋体" w:eastAsia="宋体" w:cs="宋体"/>
                <w:caps w:val="0"/>
                <w:spacing w:val="0"/>
                <w:sz w:val="20"/>
                <w:szCs w:val="20"/>
              </w:rPr>
              <w:t>任务分工方案（送审稿）》</w:t>
            </w:r>
            <w:r>
              <w:rPr>
                <w:rFonts w:hint="eastAsia" w:ascii="宋体" w:hAnsi="宋体" w:eastAsia="宋体" w:cs="宋体"/>
                <w:caps w:val="0"/>
                <w:spacing w:val="0"/>
                <w:sz w:val="24"/>
                <w:szCs w:val="24"/>
              </w:rPr>
              <w:t>。</w:t>
            </w:r>
          </w:p>
          <w:p>
            <w:pPr>
              <w:pStyle w:val="4"/>
              <w:keepNext w:val="0"/>
              <w:keepLines w:val="0"/>
              <w:widowControl/>
              <w:suppressLineNumbers w:val="0"/>
              <w:spacing w:before="0" w:beforeAutospacing="1" w:after="0" w:afterAutospacing="1" w:line="312" w:lineRule="atLeast"/>
              <w:ind w:left="0" w:right="0" w:firstLine="561"/>
            </w:pPr>
            <w:r>
              <w:rPr>
                <w:rFonts w:hint="eastAsia" w:ascii="宋体" w:hAnsi="宋体" w:eastAsia="宋体" w:cs="宋体"/>
                <w:caps w:val="0"/>
                <w:spacing w:val="0"/>
                <w:sz w:val="20"/>
                <w:szCs w:val="20"/>
              </w:rPr>
              <w:t>Ø</w:t>
            </w:r>
            <w:r>
              <w:rPr>
                <w:rFonts w:hint="default" w:ascii="Times New Roman" w:hAnsi="Times New Roman" w:eastAsia="宋体" w:cs="Times New Roman"/>
                <w:caps w:val="0"/>
                <w:spacing w:val="0"/>
                <w:sz w:val="14"/>
                <w:szCs w:val="14"/>
              </w:rPr>
              <w:t>   </w:t>
            </w:r>
            <w:r>
              <w:rPr>
                <w:rFonts w:hint="eastAsia" w:ascii="宋体" w:hAnsi="宋体" w:eastAsia="宋体" w:cs="宋体"/>
                <w:caps w:val="0"/>
                <w:spacing w:val="0"/>
                <w:sz w:val="20"/>
                <w:szCs w:val="20"/>
              </w:rPr>
              <w:t> </w:t>
            </w:r>
            <w:r>
              <w:rPr>
                <w:rStyle w:val="7"/>
                <w:rFonts w:hint="eastAsia" w:ascii="宋体" w:hAnsi="宋体" w:eastAsia="宋体" w:cs="宋体"/>
                <w:caps w:val="0"/>
                <w:spacing w:val="0"/>
                <w:sz w:val="20"/>
                <w:szCs w:val="20"/>
              </w:rPr>
              <w:t>政策解读：</w:t>
            </w:r>
            <w:r>
              <w:rPr>
                <w:rFonts w:hint="eastAsia" w:ascii="宋体" w:hAnsi="宋体" w:eastAsia="宋体" w:cs="宋体"/>
                <w:caps w:val="0"/>
                <w:spacing w:val="0"/>
                <w:sz w:val="20"/>
                <w:szCs w:val="20"/>
              </w:rPr>
              <w:t>长江经济带分工方案的通过意味着离实现国家经济大发展又迈出了一步，也昭示着湖北经济发展将迎来新的篇章，各个行业也将因此受益匪浅。目前湖北正在紧锣密鼓的对水陆空交通进行对接，如已经启动“长江干流武汉至安庆</w:t>
            </w:r>
            <w:r>
              <w:rPr>
                <w:rFonts w:hint="eastAsia" w:ascii="宋体" w:hAnsi="宋体" w:eastAsia="宋体" w:cs="宋体"/>
                <w:caps w:val="0"/>
                <w:spacing w:val="0"/>
                <w:sz w:val="20"/>
                <w:szCs w:val="20"/>
                <w:lang w:val="en-US"/>
              </w:rPr>
              <w:t>6</w:t>
            </w:r>
            <w:r>
              <w:rPr>
                <w:rFonts w:hint="eastAsia" w:ascii="宋体" w:hAnsi="宋体" w:eastAsia="宋体" w:cs="宋体"/>
                <w:caps w:val="0"/>
                <w:spacing w:val="0"/>
                <w:sz w:val="20"/>
                <w:szCs w:val="20"/>
              </w:rPr>
              <w:t>米、宜昌至武汉</w:t>
            </w:r>
            <w:r>
              <w:rPr>
                <w:rFonts w:hint="eastAsia" w:ascii="宋体" w:hAnsi="宋体" w:eastAsia="宋体" w:cs="宋体"/>
                <w:caps w:val="0"/>
                <w:spacing w:val="0"/>
                <w:sz w:val="20"/>
                <w:szCs w:val="20"/>
                <w:lang w:val="en-US"/>
              </w:rPr>
              <w:t>4.5</w:t>
            </w:r>
            <w:r>
              <w:rPr>
                <w:rFonts w:hint="eastAsia" w:ascii="宋体" w:hAnsi="宋体" w:eastAsia="宋体" w:cs="宋体"/>
                <w:caps w:val="0"/>
                <w:spacing w:val="0"/>
                <w:sz w:val="20"/>
                <w:szCs w:val="20"/>
              </w:rPr>
              <w:t>米”深水航道治理工程，该项工程完成后，万吨海轮可常年直达武汉，湖北省将由内陆变沿海，成为中西部的“出海口”等。</w:t>
            </w:r>
          </w:p>
          <w:p>
            <w:pPr>
              <w:pStyle w:val="4"/>
              <w:keepNext w:val="0"/>
              <w:keepLines w:val="0"/>
              <w:widowControl/>
              <w:suppressLineNumbers w:val="0"/>
              <w:spacing w:before="0" w:beforeAutospacing="1" w:after="0" w:afterAutospacing="1" w:line="234" w:lineRule="atLeast"/>
              <w:ind w:left="0" w:right="0" w:firstLine="561"/>
            </w:pPr>
            <w:r>
              <w:rPr>
                <w:rFonts w:hint="eastAsia" w:ascii="宋体" w:hAnsi="宋体" w:eastAsia="宋体" w:cs="宋体"/>
                <w:caps w:val="0"/>
                <w:spacing w:val="0"/>
                <w:sz w:val="20"/>
                <w:szCs w:val="20"/>
              </w:rPr>
              <w:t>Ø</w:t>
            </w:r>
            <w:r>
              <w:rPr>
                <w:rFonts w:hint="default" w:ascii="Times New Roman" w:hAnsi="Times New Roman" w:eastAsia="宋体" w:cs="Times New Roman"/>
                <w:caps w:val="0"/>
                <w:spacing w:val="0"/>
                <w:sz w:val="14"/>
                <w:szCs w:val="14"/>
              </w:rPr>
              <w:t>    </w:t>
            </w:r>
            <w:r>
              <w:rPr>
                <w:rFonts w:hint="eastAsia" w:ascii="宋体" w:hAnsi="宋体" w:eastAsia="宋体" w:cs="宋体"/>
                <w:caps w:val="0"/>
                <w:spacing w:val="0"/>
                <w:sz w:val="20"/>
                <w:szCs w:val="20"/>
              </w:rPr>
              <w:t>备注：</w:t>
            </w:r>
            <w:r>
              <w:rPr>
                <w:rFonts w:hint="eastAsia" w:ascii="宋体" w:hAnsi="宋体" w:eastAsia="宋体" w:cs="宋体"/>
                <w:caps w:val="0"/>
                <w:spacing w:val="0"/>
                <w:sz w:val="20"/>
                <w:szCs w:val="20"/>
                <w:shd w:val="clear" w:fill="D9D9D9"/>
              </w:rPr>
              <w:t>长江经济带东起上海、西至云南，涉及上海、重庆、江苏、湖北、浙江、四川、湖南、江西、安徽</w:t>
            </w:r>
            <w:r>
              <w:rPr>
                <w:rFonts w:hint="eastAsia" w:ascii="宋体" w:hAnsi="宋体" w:eastAsia="宋体" w:cs="宋体"/>
                <w:caps w:val="0"/>
                <w:spacing w:val="0"/>
                <w:sz w:val="20"/>
                <w:szCs w:val="20"/>
                <w:shd w:val="clear" w:fill="D9D9D9"/>
                <w:lang w:val="en-US"/>
              </w:rPr>
              <w:t>7</w:t>
            </w:r>
            <w:r>
              <w:rPr>
                <w:rFonts w:hint="eastAsia" w:ascii="宋体" w:hAnsi="宋体" w:eastAsia="宋体" w:cs="宋体"/>
                <w:caps w:val="0"/>
                <w:spacing w:val="0"/>
                <w:sz w:val="20"/>
                <w:szCs w:val="20"/>
                <w:shd w:val="clear" w:fill="D9D9D9"/>
              </w:rPr>
              <w:t>个省</w:t>
            </w:r>
            <w:r>
              <w:rPr>
                <w:rFonts w:hint="eastAsia" w:ascii="宋体" w:hAnsi="宋体" w:eastAsia="宋体" w:cs="宋体"/>
                <w:caps w:val="0"/>
                <w:spacing w:val="0"/>
                <w:sz w:val="20"/>
                <w:szCs w:val="20"/>
                <w:shd w:val="clear" w:fill="D9D9D9"/>
                <w:lang w:val="en-US"/>
              </w:rPr>
              <w:t>2</w:t>
            </w:r>
            <w:r>
              <w:rPr>
                <w:rFonts w:hint="eastAsia" w:ascii="宋体" w:hAnsi="宋体" w:eastAsia="宋体" w:cs="宋体"/>
                <w:caps w:val="0"/>
                <w:spacing w:val="0"/>
                <w:sz w:val="20"/>
                <w:szCs w:val="20"/>
                <w:shd w:val="clear" w:fill="D9D9D9"/>
              </w:rPr>
              <w:t>个直辖市。长江经济带的战略定位，既可以促进经济发展由东向西梯度推进，形成直接带动超过五分之一国土涉及近</w:t>
            </w:r>
            <w:r>
              <w:rPr>
                <w:rFonts w:hint="eastAsia" w:ascii="宋体" w:hAnsi="宋体" w:eastAsia="宋体" w:cs="宋体"/>
                <w:caps w:val="0"/>
                <w:spacing w:val="0"/>
                <w:sz w:val="20"/>
                <w:szCs w:val="20"/>
                <w:shd w:val="clear" w:fill="D9D9D9"/>
                <w:lang w:val="en-US"/>
              </w:rPr>
              <w:t>6</w:t>
            </w:r>
            <w:r>
              <w:rPr>
                <w:rFonts w:hint="eastAsia" w:ascii="宋体" w:hAnsi="宋体" w:eastAsia="宋体" w:cs="宋体"/>
                <w:caps w:val="0"/>
                <w:spacing w:val="0"/>
                <w:sz w:val="20"/>
                <w:szCs w:val="20"/>
                <w:shd w:val="clear" w:fill="D9D9D9"/>
              </w:rPr>
              <w:t>亿人的发展新动力，推动贫困地区脱贫致富，缩小东中西差距；又能优化经济结构，形成与丝绸之路经济带的战略互动，打造新的经济支撑带和具有全球影响力的开放合作新平台。</w:t>
            </w:r>
          </w:p>
          <w:p>
            <w:pPr>
              <w:pStyle w:val="4"/>
              <w:keepNext w:val="0"/>
              <w:keepLines w:val="0"/>
              <w:widowControl/>
              <w:suppressLineNumbers w:val="0"/>
              <w:spacing w:before="0" w:beforeAutospacing="1" w:after="0" w:afterAutospacing="1" w:line="24" w:lineRule="atLeast"/>
              <w:ind w:left="0" w:right="0" w:firstLine="562"/>
            </w:pPr>
            <w:r>
              <w:rPr>
                <w:rStyle w:val="7"/>
                <w:rFonts w:hint="default" w:ascii="Times New Roman" w:hAnsi="Times New Roman" w:eastAsia="宋体" w:cs="Times New Roman"/>
                <w:caps w:val="0"/>
                <w:spacing w:val="0"/>
                <w:sz w:val="14"/>
                <w:szCs w:val="14"/>
              </w:rPr>
              <w:t>  </w:t>
            </w:r>
            <w:r>
              <w:rPr>
                <w:rStyle w:val="7"/>
                <w:rFonts w:hint="eastAsia" w:ascii="宋体" w:hAnsi="宋体" w:eastAsia="宋体" w:cs="宋体"/>
                <w:caps w:val="0"/>
                <w:spacing w:val="0"/>
                <w:sz w:val="20"/>
                <w:szCs w:val="20"/>
              </w:rPr>
              <w:t> 10</w:t>
            </w:r>
            <w:r>
              <w:rPr>
                <w:rStyle w:val="7"/>
                <w:rFonts w:hint="eastAsia" w:ascii="宋体" w:hAnsi="宋体" w:eastAsia="宋体" w:cs="宋体"/>
                <w:caps w:val="0"/>
                <w:spacing w:val="0"/>
                <w:sz w:val="20"/>
                <w:szCs w:val="20"/>
                <w:lang w:val="en-US"/>
              </w:rPr>
              <w:t>月29日，国土部：节约集约用地继续推进</w:t>
            </w:r>
          </w:p>
          <w:p>
            <w:pPr>
              <w:pStyle w:val="4"/>
              <w:keepNext w:val="0"/>
              <w:keepLines w:val="0"/>
              <w:widowControl/>
              <w:suppressLineNumbers w:val="0"/>
              <w:spacing w:before="0" w:beforeAutospacing="1" w:after="0" w:afterAutospacing="1" w:line="24" w:lineRule="atLeast"/>
              <w:ind w:left="0" w:right="0" w:firstLine="562"/>
            </w:pPr>
            <w:r>
              <w:rPr>
                <w:rStyle w:val="7"/>
                <w:rFonts w:hint="eastAsia" w:ascii="宋体" w:hAnsi="宋体" w:eastAsia="宋体" w:cs="宋体"/>
                <w:caps w:val="0"/>
                <w:spacing w:val="0"/>
                <w:sz w:val="20"/>
                <w:szCs w:val="20"/>
              </w:rPr>
              <w:t>    </w:t>
            </w:r>
            <w:r>
              <w:rPr>
                <w:rStyle w:val="7"/>
                <w:rFonts w:hint="eastAsia" w:ascii="宋体" w:hAnsi="宋体" w:eastAsia="宋体" w:cs="宋体"/>
                <w:caps w:val="0"/>
                <w:spacing w:val="0"/>
                <w:sz w:val="20"/>
                <w:szCs w:val="20"/>
              </w:rPr>
              <w:drawing>
                <wp:inline distT="0" distB="0" distL="114300" distR="114300">
                  <wp:extent cx="1562100" cy="1866900"/>
                  <wp:effectExtent l="0" t="0" r="7620" b="7620"/>
                  <wp:docPr id="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IMG_262"/>
                          <pic:cNvPicPr>
                            <a:picLocks noChangeAspect="1"/>
                          </pic:cNvPicPr>
                        </pic:nvPicPr>
                        <pic:blipFill>
                          <a:blip r:embed="rId10"/>
                          <a:stretch>
                            <a:fillRect/>
                          </a:stretch>
                        </pic:blipFill>
                        <pic:spPr>
                          <a:xfrm>
                            <a:off x="0" y="0"/>
                            <a:ext cx="1562100" cy="1866900"/>
                          </a:xfrm>
                          <a:prstGeom prst="rect">
                            <a:avLst/>
                          </a:prstGeom>
                          <a:noFill/>
                          <a:ln w="9525">
                            <a:noFill/>
                          </a:ln>
                        </pic:spPr>
                      </pic:pic>
                    </a:graphicData>
                  </a:graphic>
                </wp:inline>
              </w:drawing>
            </w:r>
            <w:r>
              <w:rPr>
                <w:rStyle w:val="7"/>
                <w:rFonts w:hint="eastAsia" w:ascii="宋体" w:hAnsi="宋体" w:eastAsia="宋体" w:cs="宋体"/>
                <w:caps w:val="0"/>
                <w:spacing w:val="0"/>
                <w:sz w:val="20"/>
                <w:szCs w:val="20"/>
              </w:rPr>
              <w:t> </w:t>
            </w:r>
            <w:r>
              <w:rPr>
                <w:rStyle w:val="7"/>
                <w:rFonts w:hint="eastAsia" w:ascii="宋体" w:hAnsi="宋体" w:eastAsia="宋体" w:cs="宋体"/>
                <w:caps w:val="0"/>
                <w:spacing w:val="0"/>
                <w:sz w:val="20"/>
                <w:szCs w:val="20"/>
              </w:rPr>
              <w:drawing>
                <wp:inline distT="0" distB="0" distL="114300" distR="114300">
                  <wp:extent cx="3686175" cy="1866900"/>
                  <wp:effectExtent l="0" t="0" r="1905" b="7620"/>
                  <wp:docPr id="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IMG_263"/>
                          <pic:cNvPicPr>
                            <a:picLocks noChangeAspect="1"/>
                          </pic:cNvPicPr>
                        </pic:nvPicPr>
                        <pic:blipFill>
                          <a:blip r:embed="rId11"/>
                          <a:stretch>
                            <a:fillRect/>
                          </a:stretch>
                        </pic:blipFill>
                        <pic:spPr>
                          <a:xfrm>
                            <a:off x="0" y="0"/>
                            <a:ext cx="3686175" cy="1866900"/>
                          </a:xfrm>
                          <a:prstGeom prst="rect">
                            <a:avLst/>
                          </a:prstGeom>
                          <a:noFill/>
                          <a:ln w="9525">
                            <a:noFill/>
                          </a:ln>
                        </pic:spPr>
                      </pic:pic>
                    </a:graphicData>
                  </a:graphic>
                </wp:inline>
              </w:drawing>
            </w:r>
          </w:p>
          <w:p>
            <w:pPr>
              <w:pStyle w:val="4"/>
              <w:keepNext w:val="0"/>
              <w:keepLines w:val="0"/>
              <w:widowControl/>
              <w:suppressLineNumbers w:val="0"/>
              <w:spacing w:before="0" w:beforeAutospacing="1" w:after="0" w:afterAutospacing="1" w:line="24" w:lineRule="atLeast"/>
              <w:ind w:left="0" w:right="0" w:firstLine="562"/>
            </w:pPr>
            <w:r>
              <w:rPr>
                <w:rStyle w:val="7"/>
                <w:rFonts w:hint="eastAsia" w:ascii="宋体" w:hAnsi="宋体" w:eastAsia="宋体" w:cs="宋体"/>
                <w:caps w:val="0"/>
                <w:spacing w:val="0"/>
                <w:sz w:val="20"/>
                <w:szCs w:val="20"/>
              </w:rPr>
              <w:t> </w:t>
            </w:r>
          </w:p>
          <w:p>
            <w:pPr>
              <w:pStyle w:val="4"/>
              <w:keepNext w:val="0"/>
              <w:keepLines w:val="0"/>
              <w:widowControl/>
              <w:suppressLineNumbers w:val="0"/>
              <w:spacing w:before="0" w:beforeAutospacing="1" w:after="0" w:afterAutospacing="1" w:line="312" w:lineRule="atLeast"/>
              <w:ind w:left="0" w:right="0" w:firstLine="560"/>
            </w:pPr>
            <w:r>
              <w:rPr>
                <w:rFonts w:hint="eastAsia" w:ascii="宋体" w:hAnsi="宋体" w:eastAsia="宋体" w:cs="宋体"/>
                <w:caps w:val="0"/>
                <w:spacing w:val="0"/>
                <w:sz w:val="20"/>
                <w:szCs w:val="20"/>
              </w:rPr>
              <w:t>Ø</w:t>
            </w:r>
            <w:r>
              <w:rPr>
                <w:rFonts w:hint="default" w:ascii="Times New Roman" w:hAnsi="Times New Roman" w:eastAsia="宋体" w:cs="Times New Roman"/>
                <w:caps w:val="0"/>
                <w:spacing w:val="0"/>
                <w:sz w:val="14"/>
                <w:szCs w:val="14"/>
              </w:rPr>
              <w:t>   </w:t>
            </w:r>
            <w:r>
              <w:rPr>
                <w:rStyle w:val="7"/>
                <w:rFonts w:hint="eastAsia" w:ascii="宋体" w:hAnsi="宋体" w:eastAsia="宋体" w:cs="宋体"/>
                <w:caps w:val="0"/>
                <w:spacing w:val="0"/>
                <w:sz w:val="20"/>
                <w:szCs w:val="20"/>
              </w:rPr>
              <w:t>内容简介：</w:t>
            </w:r>
            <w:r>
              <w:rPr>
                <w:rFonts w:hint="eastAsia" w:ascii="宋体" w:hAnsi="宋体" w:eastAsia="宋体" w:cs="宋体"/>
                <w:caps w:val="0"/>
                <w:spacing w:val="0"/>
                <w:sz w:val="20"/>
                <w:szCs w:val="20"/>
              </w:rPr>
              <w:t>国土部召开节约集约用地专项督察动员部署视频会，从</w:t>
            </w:r>
            <w:r>
              <w:rPr>
                <w:rFonts w:hint="eastAsia" w:ascii="宋体" w:hAnsi="宋体" w:eastAsia="宋体" w:cs="宋体"/>
                <w:caps w:val="0"/>
                <w:spacing w:val="0"/>
                <w:sz w:val="20"/>
                <w:szCs w:val="20"/>
                <w:lang w:val="en-US"/>
              </w:rPr>
              <w:t>10</w:t>
            </w:r>
            <w:r>
              <w:rPr>
                <w:rFonts w:hint="eastAsia" w:ascii="宋体" w:hAnsi="宋体" w:eastAsia="宋体" w:cs="宋体"/>
                <w:caps w:val="0"/>
                <w:spacing w:val="0"/>
                <w:sz w:val="20"/>
                <w:szCs w:val="20"/>
              </w:rPr>
              <w:t>月起，国土资源部将在全国开展以清理批而</w:t>
            </w:r>
            <w:r>
              <w:rPr>
                <w:rFonts w:hint="eastAsia" w:ascii="宋体" w:hAnsi="宋体" w:eastAsia="宋体" w:cs="宋体"/>
                <w:caps w:val="0"/>
                <w:spacing w:val="0"/>
                <w:sz w:val="24"/>
                <w:szCs w:val="24"/>
              </w:rPr>
              <w:t>未</w:t>
            </w:r>
            <w:r>
              <w:rPr>
                <w:rFonts w:hint="eastAsia" w:ascii="宋体" w:hAnsi="宋体" w:eastAsia="宋体" w:cs="宋体"/>
                <w:caps w:val="0"/>
                <w:spacing w:val="0"/>
                <w:sz w:val="20"/>
                <w:szCs w:val="20"/>
              </w:rPr>
              <w:t>供和闲置土地为主要内容的节约集约用地专项督察，以深入贯彻落实党中央、国务院大力推进节约集约利用土地的决策部署</w:t>
            </w:r>
            <w:r>
              <w:rPr>
                <w:rFonts w:hint="eastAsia" w:ascii="宋体" w:hAnsi="宋体" w:eastAsia="宋体" w:cs="宋体"/>
                <w:caps w:val="0"/>
                <w:spacing w:val="0"/>
                <w:sz w:val="24"/>
                <w:szCs w:val="24"/>
              </w:rPr>
              <w:t>。</w:t>
            </w:r>
          </w:p>
          <w:p>
            <w:pPr>
              <w:pStyle w:val="4"/>
              <w:keepNext w:val="0"/>
              <w:keepLines w:val="0"/>
              <w:widowControl/>
              <w:suppressLineNumbers w:val="0"/>
              <w:spacing w:before="0" w:beforeAutospacing="1" w:after="0" w:afterAutospacing="1" w:line="312" w:lineRule="atLeast"/>
              <w:ind w:left="0" w:right="0" w:firstLine="560"/>
            </w:pPr>
            <w:r>
              <w:rPr>
                <w:rFonts w:hint="eastAsia" w:ascii="宋体" w:hAnsi="宋体" w:eastAsia="宋体" w:cs="宋体"/>
                <w:caps w:val="0"/>
                <w:spacing w:val="0"/>
                <w:sz w:val="20"/>
                <w:szCs w:val="20"/>
              </w:rPr>
              <w:t>Ø</w:t>
            </w:r>
            <w:r>
              <w:rPr>
                <w:rFonts w:hint="default" w:ascii="Times New Roman" w:hAnsi="Times New Roman" w:eastAsia="宋体" w:cs="Times New Roman"/>
                <w:caps w:val="0"/>
                <w:spacing w:val="0"/>
                <w:sz w:val="14"/>
                <w:szCs w:val="14"/>
              </w:rPr>
              <w:t>   </w:t>
            </w:r>
            <w:r>
              <w:rPr>
                <w:rStyle w:val="7"/>
                <w:rFonts w:hint="eastAsia" w:ascii="宋体" w:hAnsi="宋体" w:eastAsia="宋体" w:cs="宋体"/>
                <w:caps w:val="0"/>
                <w:spacing w:val="0"/>
                <w:sz w:val="20"/>
                <w:szCs w:val="20"/>
              </w:rPr>
              <w:t> 政策解读：</w:t>
            </w:r>
            <w:r>
              <w:rPr>
                <w:rFonts w:hint="eastAsia" w:ascii="宋体" w:hAnsi="宋体" w:eastAsia="宋体" w:cs="宋体"/>
                <w:caps w:val="0"/>
                <w:spacing w:val="0"/>
                <w:sz w:val="20"/>
                <w:szCs w:val="20"/>
              </w:rPr>
              <w:t>国家对土地的合理利用政策在不断的推进，自</w:t>
            </w:r>
            <w:r>
              <w:rPr>
                <w:rFonts w:hint="eastAsia" w:ascii="宋体" w:hAnsi="宋体" w:eastAsia="宋体" w:cs="宋体"/>
                <w:caps w:val="0"/>
                <w:spacing w:val="0"/>
                <w:sz w:val="20"/>
                <w:szCs w:val="20"/>
                <w:lang w:val="en-US"/>
              </w:rPr>
              <w:t>10</w:t>
            </w:r>
            <w:r>
              <w:rPr>
                <w:rFonts w:hint="eastAsia" w:ascii="宋体" w:hAnsi="宋体" w:eastAsia="宋体" w:cs="宋体"/>
                <w:caps w:val="0"/>
                <w:spacing w:val="0"/>
                <w:sz w:val="20"/>
                <w:szCs w:val="20"/>
              </w:rPr>
              <w:t>月起又将开展专项督查工作，地方政府与开发商必将有所压力。目前房地产市场不景气，面对土地市场的清理，不能自持的开发商势必会受到冲击，从而也会对楼市产生一些负面影响。</w:t>
            </w:r>
          </w:p>
          <w:p>
            <w:pPr>
              <w:pStyle w:val="4"/>
              <w:keepNext w:val="0"/>
              <w:keepLines w:val="0"/>
              <w:widowControl/>
              <w:suppressLineNumbers w:val="0"/>
              <w:spacing w:before="0" w:beforeAutospacing="1" w:after="0" w:afterAutospacing="1" w:line="24" w:lineRule="atLeast"/>
              <w:ind w:left="0" w:right="0" w:firstLine="562"/>
            </w:pPr>
            <w:r>
              <w:rPr>
                <w:rStyle w:val="7"/>
                <w:rFonts w:hint="eastAsia" w:ascii="宋体" w:hAnsi="宋体" w:eastAsia="宋体" w:cs="宋体"/>
                <w:caps w:val="0"/>
                <w:spacing w:val="0"/>
                <w:sz w:val="20"/>
                <w:szCs w:val="20"/>
              </w:rPr>
              <w:t>政策归纳：</w:t>
            </w:r>
          </w:p>
          <w:p>
            <w:pPr>
              <w:pStyle w:val="4"/>
              <w:keepNext w:val="0"/>
              <w:keepLines w:val="0"/>
              <w:widowControl/>
              <w:suppressLineNumbers w:val="0"/>
              <w:shd w:val="clear" w:fill="FFFFFF"/>
              <w:spacing w:line="24" w:lineRule="atLeast"/>
              <w:ind w:left="0" w:firstLine="560"/>
              <w:jc w:val="left"/>
            </w:pPr>
            <w:r>
              <w:rPr>
                <w:rFonts w:ascii="Wingdings" w:hAnsi="Wingdings" w:eastAsia="宋体" w:cs="Wingdings"/>
                <w:caps w:val="0"/>
                <w:spacing w:val="0"/>
                <w:sz w:val="20"/>
                <w:szCs w:val="20"/>
                <w:shd w:val="clear" w:fill="FFFFFF"/>
                <w:lang w:val="en-US"/>
              </w:rPr>
              <w:t>Ø</w:t>
            </w:r>
            <w:r>
              <w:rPr>
                <w:rFonts w:hint="default" w:ascii="Times New Roman" w:hAnsi="Times New Roman" w:eastAsia="宋体" w:cs="Times New Roman"/>
                <w:caps w:val="0"/>
                <w:spacing w:val="0"/>
                <w:sz w:val="14"/>
                <w:szCs w:val="14"/>
                <w:shd w:val="clear" w:fill="FFFFFF"/>
                <w:lang w:val="en-US"/>
              </w:rPr>
              <w:t>   </w:t>
            </w:r>
            <w:r>
              <w:rPr>
                <w:rStyle w:val="7"/>
                <w:rFonts w:hint="eastAsia" w:ascii="宋体" w:hAnsi="宋体" w:eastAsia="宋体" w:cs="宋体"/>
                <w:caps w:val="0"/>
                <w:spacing w:val="0"/>
                <w:sz w:val="20"/>
                <w:szCs w:val="20"/>
                <w:shd w:val="clear" w:fill="FFFFFF"/>
                <w:lang w:val="en-US"/>
              </w:rPr>
              <w:t> </w:t>
            </w:r>
            <w:r>
              <w:rPr>
                <w:rStyle w:val="7"/>
                <w:rFonts w:hint="eastAsia" w:ascii="宋体" w:hAnsi="宋体" w:eastAsia="宋体" w:cs="宋体"/>
                <w:caps w:val="0"/>
                <w:spacing w:val="0"/>
                <w:sz w:val="20"/>
                <w:szCs w:val="20"/>
                <w:shd w:val="clear" w:fill="FFFFFF"/>
              </w:rPr>
              <w:t>限购全面放开</w:t>
            </w:r>
          </w:p>
          <w:p>
            <w:pPr>
              <w:pStyle w:val="4"/>
              <w:keepNext w:val="0"/>
              <w:keepLines w:val="0"/>
              <w:widowControl/>
              <w:suppressLineNumbers w:val="0"/>
              <w:shd w:val="clear" w:fill="FFFFFF"/>
              <w:spacing w:line="24" w:lineRule="atLeast"/>
              <w:ind w:left="0" w:firstLine="560"/>
              <w:jc w:val="left"/>
            </w:pPr>
            <w:r>
              <w:rPr>
                <w:rStyle w:val="7"/>
                <w:rFonts w:hint="eastAsia" w:ascii="宋体" w:hAnsi="宋体" w:eastAsia="宋体" w:cs="宋体"/>
                <w:caps w:val="0"/>
                <w:spacing w:val="0"/>
                <w:sz w:val="20"/>
                <w:szCs w:val="20"/>
                <w:shd w:val="clear" w:fill="FFFFFF"/>
              </w:rPr>
              <w:t>      </w:t>
            </w:r>
            <w:r>
              <w:rPr>
                <w:rStyle w:val="7"/>
                <w:rFonts w:hint="eastAsia" w:ascii="宋体" w:hAnsi="宋体" w:eastAsia="宋体" w:cs="宋体"/>
                <w:caps w:val="0"/>
                <w:spacing w:val="0"/>
                <w:sz w:val="20"/>
                <w:szCs w:val="20"/>
                <w:shd w:val="clear" w:fill="FFFFFF"/>
              </w:rPr>
              <w:drawing>
                <wp:inline distT="0" distB="0" distL="114300" distR="114300">
                  <wp:extent cx="4533900" cy="2105025"/>
                  <wp:effectExtent l="0" t="0" r="7620" b="13335"/>
                  <wp:docPr id="1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64"/>
                          <pic:cNvPicPr>
                            <a:picLocks noChangeAspect="1"/>
                          </pic:cNvPicPr>
                        </pic:nvPicPr>
                        <pic:blipFill>
                          <a:blip r:embed="rId12"/>
                          <a:stretch>
                            <a:fillRect/>
                          </a:stretch>
                        </pic:blipFill>
                        <pic:spPr>
                          <a:xfrm>
                            <a:off x="0" y="0"/>
                            <a:ext cx="4533900" cy="2105025"/>
                          </a:xfrm>
                          <a:prstGeom prst="rect">
                            <a:avLst/>
                          </a:prstGeom>
                          <a:noFill/>
                          <a:ln w="9525">
                            <a:noFill/>
                          </a:ln>
                        </pic:spPr>
                      </pic:pic>
                    </a:graphicData>
                  </a:graphic>
                </wp:inline>
              </w:drawing>
            </w:r>
          </w:p>
          <w:p>
            <w:pPr>
              <w:pStyle w:val="4"/>
              <w:keepNext w:val="0"/>
              <w:keepLines w:val="0"/>
              <w:widowControl/>
              <w:suppressLineNumbers w:val="0"/>
              <w:shd w:val="clear" w:fill="FFFFFF"/>
              <w:spacing w:line="24" w:lineRule="atLeast"/>
              <w:ind w:left="0" w:firstLine="560"/>
              <w:jc w:val="left"/>
            </w:pPr>
            <w:r>
              <w:rPr>
                <w:rStyle w:val="7"/>
                <w:rFonts w:ascii="Calibri" w:hAnsi="Calibri" w:eastAsia="宋体" w:cs="Calibri"/>
                <w:caps w:val="0"/>
                <w:spacing w:val="0"/>
                <w:sz w:val="28"/>
                <w:szCs w:val="28"/>
                <w:shd w:val="clear" w:fill="FFFFFF"/>
              </w:rPr>
              <w:t> </w:t>
            </w:r>
            <w:r>
              <w:rPr>
                <w:rStyle w:val="7"/>
                <w:rFonts w:hint="eastAsia" w:ascii="宋体" w:hAnsi="宋体" w:eastAsia="宋体" w:cs="宋体"/>
                <w:caps w:val="0"/>
                <w:spacing w:val="0"/>
                <w:sz w:val="20"/>
                <w:szCs w:val="20"/>
                <w:shd w:val="clear" w:fill="FFFFFF"/>
              </w:rPr>
              <w:t>央行放松限贷</w:t>
            </w:r>
          </w:p>
          <w:p>
            <w:pPr>
              <w:pStyle w:val="4"/>
              <w:keepNext w:val="0"/>
              <w:keepLines w:val="0"/>
              <w:widowControl/>
              <w:suppressLineNumbers w:val="0"/>
              <w:shd w:val="clear" w:fill="FFFFFF"/>
              <w:spacing w:line="24" w:lineRule="atLeast"/>
              <w:ind w:left="0" w:firstLine="560"/>
              <w:jc w:val="left"/>
            </w:pPr>
            <w:r>
              <w:rPr>
                <w:rStyle w:val="7"/>
                <w:rFonts w:hint="eastAsia" w:ascii="宋体" w:hAnsi="宋体" w:eastAsia="宋体" w:cs="宋体"/>
                <w:caps w:val="0"/>
                <w:spacing w:val="0"/>
                <w:sz w:val="28"/>
                <w:szCs w:val="28"/>
                <w:shd w:val="clear" w:fill="FFFFFF"/>
              </w:rPr>
              <w:t>  </w:t>
            </w:r>
            <w:r>
              <w:rPr>
                <w:rStyle w:val="7"/>
                <w:rFonts w:hint="eastAsia" w:ascii="宋体" w:hAnsi="宋体" w:eastAsia="宋体" w:cs="宋体"/>
                <w:caps w:val="0"/>
                <w:spacing w:val="0"/>
                <w:sz w:val="28"/>
                <w:szCs w:val="28"/>
                <w:shd w:val="clear" w:fill="FFFFFF"/>
              </w:rPr>
              <w:drawing>
                <wp:inline distT="0" distB="0" distL="114300" distR="114300">
                  <wp:extent cx="4800600" cy="2162175"/>
                  <wp:effectExtent l="0" t="0" r="0" b="190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4800600" cy="2162175"/>
                          </a:xfrm>
                          <a:prstGeom prst="rect">
                            <a:avLst/>
                          </a:prstGeom>
                          <a:noFill/>
                          <a:ln w="9525">
                            <a:noFill/>
                          </a:ln>
                        </pic:spPr>
                      </pic:pic>
                    </a:graphicData>
                  </a:graphic>
                </wp:inline>
              </w:drawing>
            </w:r>
          </w:p>
          <w:p>
            <w:pPr>
              <w:pStyle w:val="4"/>
              <w:keepNext w:val="0"/>
              <w:keepLines w:val="0"/>
              <w:widowControl/>
              <w:suppressLineNumbers w:val="0"/>
              <w:shd w:val="clear" w:fill="FFFFFF"/>
              <w:spacing w:before="0" w:beforeAutospacing="0" w:after="0" w:afterAutospacing="0" w:line="24" w:lineRule="atLeast"/>
              <w:ind w:left="0" w:right="-1361" w:firstLine="560"/>
              <w:jc w:val="left"/>
            </w:pPr>
            <w:r>
              <w:rPr>
                <w:rFonts w:hint="eastAsia" w:ascii="宋体" w:hAnsi="宋体" w:eastAsia="宋体" w:cs="宋体"/>
                <w:caps w:val="0"/>
                <w:spacing w:val="0"/>
                <w:sz w:val="20"/>
                <w:szCs w:val="20"/>
                <w:shd w:val="clear" w:fill="FFFFFF"/>
              </w:rPr>
              <w:t>降低住房公积金门槛</w:t>
            </w:r>
          </w:p>
          <w:p>
            <w:pPr>
              <w:pStyle w:val="4"/>
              <w:keepNext w:val="0"/>
              <w:keepLines w:val="0"/>
              <w:widowControl/>
              <w:suppressLineNumbers w:val="0"/>
              <w:shd w:val="clear" w:fill="FFFFFF"/>
              <w:spacing w:before="0" w:beforeAutospacing="0" w:after="0" w:afterAutospacing="0" w:line="24" w:lineRule="atLeast"/>
              <w:ind w:left="0" w:right="-1361" w:firstLine="560"/>
              <w:jc w:val="left"/>
            </w:pPr>
            <w:r>
              <w:rPr>
                <w:rStyle w:val="7"/>
                <w:rFonts w:hint="eastAsia" w:ascii="宋体" w:hAnsi="宋体" w:eastAsia="宋体" w:cs="宋体"/>
                <w:caps w:val="0"/>
                <w:spacing w:val="0"/>
                <w:sz w:val="20"/>
                <w:szCs w:val="20"/>
                <w:shd w:val="clear" w:fill="FFFFFF"/>
              </w:rPr>
              <w:t>     </w:t>
            </w:r>
            <w:r>
              <w:rPr>
                <w:rStyle w:val="7"/>
                <w:rFonts w:hint="eastAsia" w:ascii="宋体" w:hAnsi="宋体" w:eastAsia="宋体" w:cs="宋体"/>
                <w:caps w:val="0"/>
                <w:spacing w:val="0"/>
                <w:sz w:val="20"/>
                <w:szCs w:val="20"/>
                <w:shd w:val="clear" w:fill="FFFFFF"/>
              </w:rPr>
              <w:drawing>
                <wp:inline distT="0" distB="0" distL="114300" distR="114300">
                  <wp:extent cx="4800600" cy="3943350"/>
                  <wp:effectExtent l="0" t="0" r="0" b="3810"/>
                  <wp:docPr id="1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66"/>
                          <pic:cNvPicPr>
                            <a:picLocks noChangeAspect="1"/>
                          </pic:cNvPicPr>
                        </pic:nvPicPr>
                        <pic:blipFill>
                          <a:blip r:embed="rId14"/>
                          <a:stretch>
                            <a:fillRect/>
                          </a:stretch>
                        </pic:blipFill>
                        <pic:spPr>
                          <a:xfrm>
                            <a:off x="0" y="0"/>
                            <a:ext cx="4800600" cy="3943350"/>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lang w:val="en-US"/>
              </w:rPr>
            </w:pPr>
            <w:r>
              <w:rPr>
                <w:rStyle w:val="7"/>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t>  总结：中央持续发力，积极救市</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lang w:val="en-US"/>
              </w:rPr>
            </w:pPr>
            <w:bookmarkStart w:id="17" w:name="_Toc384797620"/>
            <w:bookmarkEnd w:id="17"/>
            <w:bookmarkStart w:id="18" w:name="_Toc384797304"/>
            <w:bookmarkEnd w:id="18"/>
            <w:bookmarkStart w:id="19" w:name="_Toc384797222"/>
            <w:bookmarkEnd w:id="19"/>
            <w:bookmarkStart w:id="20" w:name="_Toc384796963"/>
            <w:bookmarkEnd w:id="20"/>
            <w:bookmarkStart w:id="21" w:name="_Toc380050034"/>
            <w:bookmarkEnd w:id="21"/>
            <w:r>
              <w:rPr>
                <w:rFonts w:hint="eastAsia" w:ascii="宋体" w:hAnsi="宋体" w:eastAsia="宋体" w:cs="宋体"/>
                <w:caps w:val="0"/>
                <w:spacing w:val="0"/>
                <w:kern w:val="0"/>
                <w:sz w:val="20"/>
                <w:szCs w:val="20"/>
                <w:lang w:val="en-US" w:eastAsia="zh-CN" w:bidi="ar"/>
              </w:rPr>
              <w:t>    9月29日，央行、银监会发布“央四条”，明确对首套房贷进行放松，而之后10月9日，住建部等三部门又颁布住房公积金新政，要求实现住房公积金缴存异地互认、转移接续，并推进异地贷款业务。这两次中央层面信贷政策的调整，对于促进楼市稳增长具有积极意义。从地方房地产政策来看，近期又有一批二三线城市陆续放开房地产限购政策，全国限购政策除四个一线城市外几近全线退出。继央行发布“央四条”之后，地方政府也陆续出台一些措施，以刺激低迷的楼市。</w:t>
            </w:r>
            <w:bookmarkStart w:id="22" w:name="_Toc398024653"/>
            <w:bookmarkEnd w:id="22"/>
          </w:p>
          <w:p>
            <w:pPr>
              <w:pStyle w:val="3"/>
              <w:keepNext w:val="0"/>
              <w:keepLines w:val="0"/>
              <w:widowControl/>
              <w:suppressLineNumbers w:val="0"/>
              <w:spacing w:line="24" w:lineRule="atLeast"/>
            </w:pPr>
            <w:r>
              <w:rPr>
                <w:caps w:val="0"/>
                <w:spacing w:val="0"/>
                <w:lang w:val="en-US"/>
              </w:rPr>
              <w:t>    </w:t>
            </w:r>
            <w:bookmarkStart w:id="23" w:name="_Toc403334977"/>
            <w:r>
              <w:rPr>
                <w:rFonts w:hint="eastAsia" w:ascii="宋体" w:hAnsi="宋体" w:eastAsia="宋体" w:cs="宋体"/>
                <w:caps w:val="0"/>
                <w:spacing w:val="0"/>
                <w:sz w:val="20"/>
                <w:szCs w:val="20"/>
                <w:lang w:val="en-US"/>
              </w:rPr>
              <w:t>二、楼市发展趋势分析</w:t>
            </w:r>
            <w:bookmarkEnd w:id="23"/>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lang w:val="en-US"/>
              </w:rPr>
            </w:pPr>
            <w:r>
              <w:rPr>
                <w:rStyle w:val="7"/>
                <w:rFonts w:hint="eastAsia" w:ascii="宋体" w:hAnsi="宋体" w:eastAsia="宋体" w:cs="宋体"/>
                <w:caps w:val="0"/>
                <w:spacing w:val="0"/>
                <w:kern w:val="0"/>
                <w:sz w:val="20"/>
                <w:szCs w:val="20"/>
                <w:lang w:val="en-US" w:eastAsia="zh-CN" w:bidi="ar"/>
              </w:rPr>
              <w:t>    土地状况：</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lang w:val="en-US"/>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5067300" cy="904875"/>
                  <wp:effectExtent l="0" t="0" r="7620" b="9525"/>
                  <wp:docPr id="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IMG_267"/>
                          <pic:cNvPicPr>
                            <a:picLocks noChangeAspect="1"/>
                          </pic:cNvPicPr>
                        </pic:nvPicPr>
                        <pic:blipFill>
                          <a:blip r:embed="rId15"/>
                          <a:stretch>
                            <a:fillRect/>
                          </a:stretch>
                        </pic:blipFill>
                        <pic:spPr>
                          <a:xfrm>
                            <a:off x="0" y="0"/>
                            <a:ext cx="5067300" cy="904875"/>
                          </a:xfrm>
                          <a:prstGeom prst="rect">
                            <a:avLst/>
                          </a:prstGeom>
                          <a:noFill/>
                          <a:ln w="9525">
                            <a:noFill/>
                          </a:ln>
                        </pic:spPr>
                      </pic:pic>
                    </a:graphicData>
                  </a:graphic>
                </wp:inline>
              </w:drawing>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lang w:val="en-US"/>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供应情况：</w:t>
            </w:r>
            <w:r>
              <w:rPr>
                <w:rFonts w:hint="eastAsia" w:ascii="宋体" w:hAnsi="宋体" w:eastAsia="宋体" w:cs="宋体"/>
                <w:caps w:val="0"/>
                <w:spacing w:val="0"/>
                <w:kern w:val="0"/>
                <w:sz w:val="20"/>
                <w:szCs w:val="20"/>
                <w:lang w:val="en-US" w:eastAsia="zh-CN" w:bidi="ar"/>
              </w:rPr>
              <w:t>10月全国300个城市共推出土地2279宗，环比减少14%，同比减少42%;推出土地面积8521万平方米，环比减少10%，同比减少46%。其中，住宅类用地（含住宅用地及包含住宅用地的综合性用地）695宗，环比减少10%，同比减少52%；推出土地面积2896万平方米，环比减少4%，同比减少53%。</w:t>
            </w:r>
            <w:r>
              <w:rPr>
                <w:rFonts w:hint="eastAsia" w:ascii="宋体" w:hAnsi="宋体" w:eastAsia="宋体" w:cs="宋体"/>
                <w:b/>
                <w:caps w:val="0"/>
                <w:spacing w:val="0"/>
                <w:kern w:val="0"/>
                <w:sz w:val="20"/>
                <w:szCs w:val="20"/>
                <w:lang w:val="en-US" w:eastAsia="zh-CN" w:bidi="ar"/>
              </w:rPr>
              <w:t>四季度首月，全国主要城市推地量小幅下滑，同比降幅仍在三成以上。</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lang w:val="en-US"/>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成交情况：</w:t>
            </w:r>
            <w:r>
              <w:rPr>
                <w:rFonts w:hint="eastAsia" w:ascii="宋体" w:hAnsi="宋体" w:eastAsia="宋体" w:cs="宋体"/>
                <w:caps w:val="0"/>
                <w:spacing w:val="0"/>
                <w:kern w:val="0"/>
                <w:sz w:val="20"/>
                <w:szCs w:val="20"/>
                <w:lang w:val="en-US" w:eastAsia="zh-CN" w:bidi="ar"/>
              </w:rPr>
              <w:t>10月全国300个城市共成交土地1190宗，环比减少43%，同比减少66%；成交面积4801万平方米，环比减少35%，同比减少63%。其中，住宅用地（含住宅用地及包含住宅用地的综合性用地）344宗，环比减少31%，同比减少72%；成交面积1587万平方米，环比减少17%，同比减少70%。</w:t>
            </w:r>
            <w:r>
              <w:rPr>
                <w:rFonts w:hint="eastAsia" w:ascii="宋体" w:hAnsi="宋体" w:eastAsia="宋体" w:cs="宋体"/>
                <w:b/>
                <w:caps w:val="0"/>
                <w:spacing w:val="0"/>
                <w:kern w:val="0"/>
                <w:sz w:val="20"/>
                <w:szCs w:val="20"/>
                <w:lang w:val="en-US" w:eastAsia="zh-CN" w:bidi="ar"/>
              </w:rPr>
              <w:t>本月部分重点城市现拿地潮，但市场整体形势未改，主要城市受供地缩减影响成交量继续回落。</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lang w:val="en-US"/>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成交价格：</w:t>
            </w:r>
            <w:r>
              <w:rPr>
                <w:rFonts w:hint="eastAsia" w:ascii="宋体" w:hAnsi="宋体" w:eastAsia="宋体" w:cs="宋体"/>
                <w:caps w:val="0"/>
                <w:spacing w:val="0"/>
                <w:kern w:val="0"/>
                <w:sz w:val="20"/>
                <w:szCs w:val="20"/>
                <w:lang w:val="en-US" w:eastAsia="zh-CN" w:bidi="ar"/>
              </w:rPr>
              <w:t>10月全国300城市成交楼面均价为1499元/平方米，环比上涨33%，同比上涨31%；其中住宅类用地（含住宅用地及包含住宅用地的综合性用地）成交楼面均价为2454元/平方米，环比上涨14%，同比上涨66%。</w:t>
            </w:r>
            <w:r>
              <w:rPr>
                <w:rFonts w:hint="eastAsia" w:ascii="宋体" w:hAnsi="宋体" w:eastAsia="宋体" w:cs="宋体"/>
                <w:b/>
                <w:caps w:val="0"/>
                <w:spacing w:val="0"/>
                <w:kern w:val="0"/>
                <w:sz w:val="20"/>
                <w:szCs w:val="20"/>
                <w:lang w:val="en-US" w:eastAsia="zh-CN" w:bidi="ar"/>
              </w:rPr>
              <w:t>本月成交楼面均价同环比均上涨，达到年内高点，宅地价格同比增幅高于整体。</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lang w:val="en-US"/>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t> 房价情况：</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lang w:val="en-US"/>
              </w:rPr>
            </w:pPr>
            <w:r>
              <w:rPr>
                <w:rFonts w:hint="eastAsia" w:ascii="宋体" w:hAnsi="宋体" w:eastAsia="宋体" w:cs="宋体"/>
                <w:caps w:val="0"/>
                <w:spacing w:val="0"/>
                <w:kern w:val="0"/>
                <w:sz w:val="20"/>
                <w:szCs w:val="20"/>
                <w:lang w:val="en-US" w:eastAsia="zh-CN" w:bidi="ar"/>
              </w:rPr>
              <w:t>  百城环比统计：</w:t>
            </w:r>
          </w:p>
          <w:p>
            <w:pPr>
              <w:keepNext w:val="0"/>
              <w:keepLines w:val="0"/>
              <w:widowControl/>
              <w:suppressLineNumbers w:val="0"/>
              <w:spacing w:line="24" w:lineRule="atLeast"/>
              <w:ind w:left="0" w:firstLine="0"/>
              <w:jc w:val="left"/>
              <w:rPr>
                <w:rFonts w:hint="eastAsia" w:ascii="宋体" w:hAnsi="宋体" w:eastAsia="宋体" w:cs="宋体"/>
                <w:caps w:val="0"/>
                <w:spacing w:val="0"/>
                <w:sz w:val="20"/>
                <w:szCs w:val="20"/>
                <w:lang w:val="en-US"/>
              </w:rPr>
            </w:pP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2314575" cy="1600200"/>
                  <wp:effectExtent l="0" t="0" r="1905" b="0"/>
                  <wp:docPr id="7"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IMG_268"/>
                          <pic:cNvPicPr>
                            <a:picLocks noChangeAspect="1"/>
                          </pic:cNvPicPr>
                        </pic:nvPicPr>
                        <pic:blipFill>
                          <a:blip r:embed="rId16"/>
                          <a:stretch>
                            <a:fillRect/>
                          </a:stretch>
                        </pic:blipFill>
                        <pic:spPr>
                          <a:xfrm>
                            <a:off x="0" y="0"/>
                            <a:ext cx="2314575" cy="1600200"/>
                          </a:xfrm>
                          <a:prstGeom prst="rect">
                            <a:avLst/>
                          </a:prstGeom>
                          <a:noFill/>
                          <a:ln w="9525">
                            <a:noFill/>
                          </a:ln>
                        </pic:spPr>
                      </pic:pic>
                    </a:graphicData>
                  </a:graphic>
                </wp:inline>
              </w:drawing>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2276475" cy="1600200"/>
                  <wp:effectExtent l="0" t="0" r="9525" b="0"/>
                  <wp:docPr id="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IMG_269"/>
                          <pic:cNvPicPr>
                            <a:picLocks noChangeAspect="1"/>
                          </pic:cNvPicPr>
                        </pic:nvPicPr>
                        <pic:blipFill>
                          <a:blip r:embed="rId17"/>
                          <a:stretch>
                            <a:fillRect/>
                          </a:stretch>
                        </pic:blipFill>
                        <pic:spPr>
                          <a:xfrm>
                            <a:off x="0" y="0"/>
                            <a:ext cx="2276475" cy="1600200"/>
                          </a:xfrm>
                          <a:prstGeom prst="rect">
                            <a:avLst/>
                          </a:prstGeom>
                          <a:noFill/>
                          <a:ln w="9525">
                            <a:noFill/>
                          </a:ln>
                        </pic:spPr>
                      </pic:pic>
                    </a:graphicData>
                  </a:graphic>
                </wp:inline>
              </w:drawing>
            </w:r>
          </w:p>
          <w:p>
            <w:pPr>
              <w:pStyle w:val="4"/>
              <w:keepNext w:val="0"/>
              <w:keepLines w:val="0"/>
              <w:widowControl/>
              <w:suppressLineNumbers w:val="0"/>
              <w:spacing w:before="0" w:beforeAutospacing="0" w:after="0" w:afterAutospacing="0" w:line="234" w:lineRule="atLeast"/>
              <w:ind w:left="980" w:right="375" w:hanging="420"/>
            </w:pPr>
            <w:r>
              <w:rPr>
                <w:rFonts w:hint="eastAsia" w:ascii="宋体" w:hAnsi="宋体" w:eastAsia="宋体" w:cs="宋体"/>
                <w:caps w:val="0"/>
                <w:spacing w:val="0"/>
                <w:sz w:val="20"/>
                <w:szCs w:val="20"/>
                <w:lang w:val="en-US"/>
              </w:rPr>
              <w:t>十城环比统计：</w:t>
            </w:r>
          </w:p>
          <w:p>
            <w:pPr>
              <w:pStyle w:val="4"/>
              <w:keepNext w:val="0"/>
              <w:keepLines w:val="0"/>
              <w:widowControl/>
              <w:suppressLineNumbers w:val="0"/>
              <w:spacing w:before="0" w:beforeAutospacing="0" w:after="0" w:afterAutospacing="0" w:line="234" w:lineRule="atLeast"/>
              <w:ind w:left="980" w:right="375" w:hanging="420"/>
            </w:pPr>
            <w:r>
              <w:rPr>
                <w:rFonts w:hint="eastAsia" w:ascii="宋体" w:hAnsi="宋体" w:eastAsia="宋体" w:cs="宋体"/>
                <w:b/>
                <w:caps w:val="0"/>
                <w:spacing w:val="0"/>
                <w:sz w:val="24"/>
                <w:szCs w:val="24"/>
                <w:lang w:val="en-US"/>
              </w:rPr>
              <w:t>      </w:t>
            </w:r>
            <w:r>
              <w:rPr>
                <w:rFonts w:hint="eastAsia" w:ascii="宋体" w:hAnsi="宋体" w:eastAsia="宋体" w:cs="宋体"/>
                <w:b/>
                <w:caps w:val="0"/>
                <w:spacing w:val="0"/>
                <w:sz w:val="24"/>
                <w:szCs w:val="24"/>
                <w:lang w:val="en-US"/>
              </w:rPr>
              <w:drawing>
                <wp:inline distT="0" distB="0" distL="114300" distR="114300">
                  <wp:extent cx="4533900" cy="2009775"/>
                  <wp:effectExtent l="0" t="0" r="7620" b="1905"/>
                  <wp:docPr id="2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IMG_270"/>
                          <pic:cNvPicPr>
                            <a:picLocks noChangeAspect="1"/>
                          </pic:cNvPicPr>
                        </pic:nvPicPr>
                        <pic:blipFill>
                          <a:blip r:embed="rId18"/>
                          <a:stretch>
                            <a:fillRect/>
                          </a:stretch>
                        </pic:blipFill>
                        <pic:spPr>
                          <a:xfrm>
                            <a:off x="0" y="0"/>
                            <a:ext cx="4533900" cy="2009775"/>
                          </a:xfrm>
                          <a:prstGeom prst="rect">
                            <a:avLst/>
                          </a:prstGeom>
                          <a:noFill/>
                          <a:ln w="9525">
                            <a:noFill/>
                          </a:ln>
                        </pic:spPr>
                      </pic:pic>
                    </a:graphicData>
                  </a:graphic>
                </wp:inline>
              </w:drawing>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Style w:val="7"/>
                <w:rFonts w:hint="eastAsia" w:ascii="宋体" w:hAnsi="宋体" w:eastAsia="宋体" w:cs="宋体"/>
                <w:caps w:val="0"/>
                <w:spacing w:val="0"/>
                <w:kern w:val="0"/>
                <w:sz w:val="24"/>
                <w:szCs w:val="24"/>
                <w:lang w:val="en-US" w:eastAsia="zh-CN" w:bidi="ar"/>
              </w:rPr>
              <w:t>      </w:t>
            </w:r>
            <w:r>
              <w:rPr>
                <w:rStyle w:val="7"/>
                <w:rFonts w:hint="eastAsia" w:ascii="宋体" w:hAnsi="宋体" w:eastAsia="宋体" w:cs="宋体"/>
                <w:caps w:val="0"/>
                <w:spacing w:val="0"/>
                <w:kern w:val="0"/>
                <w:sz w:val="20"/>
                <w:szCs w:val="20"/>
                <w:lang w:val="en-US" w:eastAsia="zh-CN" w:bidi="ar"/>
              </w:rPr>
              <w:t>监测一览：</w:t>
            </w:r>
            <w:r>
              <w:rPr>
                <w:rFonts w:hint="eastAsia" w:ascii="宋体" w:hAnsi="宋体" w:eastAsia="宋体" w:cs="宋体"/>
                <w:caps w:val="0"/>
                <w:spacing w:val="0"/>
                <w:kern w:val="0"/>
                <w:sz w:val="20"/>
                <w:szCs w:val="20"/>
                <w:lang w:val="en-US" w:eastAsia="zh-CN" w:bidi="ar"/>
              </w:rPr>
              <w:t>本月监测的100个城市中成交价格环比上涨的有27个，较上月增加6个，其中新乡涨幅最大，为1.82%；而其余79个城市均环比下跌，其中湛江跌幅最大，为3.89%。10个重点城市中4个上涨，其中北京由于新推高价楼盘较多涨幅最大，其环比上涨0.69%；而其余城市均出现不同程度的下跌。总体而言，本月成交价格仍呈现下跌态势。</w:t>
            </w:r>
            <w:bookmarkStart w:id="24" w:name="_Toc374521661"/>
            <w:bookmarkEnd w:id="24"/>
          </w:p>
          <w:p>
            <w:pPr>
              <w:pStyle w:val="2"/>
              <w:keepNext w:val="0"/>
              <w:keepLines w:val="0"/>
              <w:widowControl/>
              <w:suppressLineNumbers w:val="0"/>
              <w:spacing w:line="288" w:lineRule="atLeast"/>
              <w:jc w:val="center"/>
            </w:pPr>
            <w:bookmarkStart w:id="25" w:name="_Toc403334978"/>
            <w:r>
              <w:rPr>
                <w:rFonts w:hint="eastAsia" w:ascii="宋体" w:hAnsi="宋体" w:eastAsia="宋体" w:cs="宋体"/>
                <w:caps w:val="0"/>
                <w:spacing w:val="0"/>
                <w:sz w:val="27"/>
                <w:szCs w:val="27"/>
                <w:lang w:val="en-US"/>
              </w:rPr>
              <w:t>第二部分   </w:t>
            </w:r>
            <w:bookmarkEnd w:id="25"/>
            <w:r>
              <w:rPr>
                <w:caps w:val="0"/>
                <w:spacing w:val="0"/>
                <w:sz w:val="27"/>
                <w:szCs w:val="27"/>
                <w:lang w:val="en-US"/>
              </w:rPr>
              <w:t>荆门土地市场分析</w:t>
            </w:r>
          </w:p>
          <w:p>
            <w:pPr>
              <w:pStyle w:val="3"/>
              <w:keepNext w:val="0"/>
              <w:keepLines w:val="0"/>
              <w:widowControl/>
              <w:suppressLineNumbers w:val="0"/>
              <w:spacing w:line="288" w:lineRule="atLeast"/>
            </w:pPr>
            <w:bookmarkStart w:id="26" w:name="_Toc403334979"/>
            <w:bookmarkEnd w:id="26"/>
            <w:bookmarkStart w:id="27" w:name="_Toc374521662"/>
            <w:bookmarkEnd w:id="27"/>
            <w:bookmarkStart w:id="28" w:name="_Toc372096370"/>
            <w:bookmarkEnd w:id="28"/>
            <w:bookmarkStart w:id="29" w:name="_Toc372095421"/>
            <w:bookmarkEnd w:id="29"/>
            <w:bookmarkStart w:id="30" w:name="_Toc372095340"/>
            <w:bookmarkEnd w:id="30"/>
            <w:bookmarkStart w:id="31" w:name="_Toc371849982"/>
            <w:bookmarkEnd w:id="31"/>
            <w:bookmarkStart w:id="32" w:name="_Toc371849857"/>
            <w:bookmarkEnd w:id="32"/>
            <w:bookmarkStart w:id="33" w:name="_Toc369853714"/>
            <w:bookmarkEnd w:id="33"/>
            <w:bookmarkStart w:id="34" w:name="_Toc366241970"/>
            <w:bookmarkEnd w:id="34"/>
            <w:bookmarkStart w:id="35" w:name="_Toc360803238"/>
            <w:bookmarkEnd w:id="35"/>
            <w:bookmarkStart w:id="36" w:name="_Toc5818"/>
            <w:bookmarkEnd w:id="36"/>
            <w:r>
              <w:rPr>
                <w:caps w:val="0"/>
                <w:spacing w:val="0"/>
                <w:sz w:val="20"/>
                <w:szCs w:val="20"/>
                <w:lang w:val="en-US"/>
              </w:rPr>
              <w:t>   一、土地供应市场解析</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bookmarkStart w:id="37" w:name="_Toc360803239"/>
            <w:bookmarkEnd w:id="37"/>
            <w:r>
              <w:rPr>
                <w:rStyle w:val="7"/>
                <w:rFonts w:hint="eastAsia" w:ascii="宋体" w:hAnsi="宋体" w:eastAsia="宋体" w:cs="宋体"/>
                <w:caps w:val="0"/>
                <w:spacing w:val="0"/>
                <w:kern w:val="0"/>
                <w:sz w:val="24"/>
                <w:szCs w:val="24"/>
                <w:lang w:val="en-US" w:eastAsia="zh-CN" w:bidi="ar"/>
              </w:rPr>
              <w:t>     </w:t>
            </w:r>
            <w:bookmarkStart w:id="38" w:name="_Toc360803133"/>
            <w:r>
              <w:rPr>
                <w:rStyle w:val="7"/>
                <w:rFonts w:hint="eastAsia" w:ascii="宋体" w:hAnsi="宋体" w:eastAsia="宋体" w:cs="宋体"/>
                <w:caps w:val="0"/>
                <w:spacing w:val="0"/>
                <w:kern w:val="0"/>
                <w:sz w:val="20"/>
                <w:szCs w:val="20"/>
                <w:lang w:val="en-US" w:eastAsia="zh-CN" w:bidi="ar"/>
              </w:rPr>
              <w:t>1.</w:t>
            </w:r>
            <w:bookmarkEnd w:id="38"/>
            <w:r>
              <w:rPr>
                <w:rStyle w:val="7"/>
                <w:rFonts w:hint="eastAsia" w:ascii="宋体" w:hAnsi="宋体" w:eastAsia="宋体" w:cs="宋体"/>
                <w:caps w:val="0"/>
                <w:spacing w:val="0"/>
                <w:kern w:val="0"/>
                <w:sz w:val="20"/>
                <w:szCs w:val="20"/>
                <w:lang w:val="en-US" w:eastAsia="zh-CN" w:bidi="ar"/>
              </w:rPr>
              <w:t>本月出让地块</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bookmarkStart w:id="39" w:name="_Toc360803240"/>
            <w:bookmarkEnd w:id="39"/>
            <w:r>
              <w:rPr>
                <w:rFonts w:hint="eastAsia" w:ascii="宋体" w:hAnsi="宋体" w:eastAsia="宋体" w:cs="宋体"/>
                <w:caps w:val="0"/>
                <w:spacing w:val="0"/>
                <w:kern w:val="0"/>
                <w:sz w:val="24"/>
                <w:szCs w:val="24"/>
                <w:lang w:val="en-US" w:eastAsia="zh-CN" w:bidi="ar"/>
              </w:rPr>
              <w:t>      </w:t>
            </w:r>
            <w:bookmarkStart w:id="40" w:name="_Toc360803134"/>
            <w:r>
              <w:rPr>
                <w:rFonts w:hint="eastAsia" w:ascii="宋体" w:hAnsi="宋体" w:eastAsia="宋体" w:cs="宋体"/>
                <w:caps w:val="0"/>
                <w:spacing w:val="0"/>
                <w:kern w:val="0"/>
                <w:sz w:val="20"/>
                <w:szCs w:val="20"/>
                <w:lang w:val="en-US" w:eastAsia="zh-CN" w:bidi="ar"/>
              </w:rPr>
              <w:t>本月出让地块2宗，出让总面积6.4万方，出让总额0.3亿。本月出让面积环比增加17%，同比减少18%。本月出让地块列表如下：</w:t>
            </w:r>
            <w:bookmarkEnd w:id="40"/>
          </w:p>
          <w:p>
            <w:pPr>
              <w:keepNext w:val="0"/>
              <w:keepLines w:val="0"/>
              <w:widowControl/>
              <w:suppressLineNumbers w:val="0"/>
              <w:spacing w:line="288" w:lineRule="atLeast"/>
              <w:ind w:left="0" w:firstLine="0"/>
              <w:jc w:val="center"/>
              <w:rPr>
                <w:rFonts w:hint="eastAsia" w:ascii="宋体" w:hAnsi="宋体" w:eastAsia="宋体" w:cs="宋体"/>
                <w:caps w:val="0"/>
                <w:spacing w:val="0"/>
                <w:sz w:val="24"/>
                <w:szCs w:val="24"/>
                <w:lang w:val="en-US"/>
              </w:rPr>
            </w:pPr>
            <w:r>
              <w:rPr>
                <w:rStyle w:val="7"/>
                <w:rFonts w:hint="eastAsia" w:ascii="宋体" w:hAnsi="宋体" w:eastAsia="宋体" w:cs="宋体"/>
                <w:caps w:val="0"/>
                <w:spacing w:val="0"/>
                <w:kern w:val="0"/>
                <w:sz w:val="20"/>
                <w:szCs w:val="20"/>
                <w:lang w:val="en-US" w:eastAsia="zh-CN" w:bidi="ar"/>
              </w:rPr>
              <w:t>10月出让地块详情</w:t>
            </w:r>
          </w:p>
          <w:p>
            <w:pPr>
              <w:keepNext w:val="0"/>
              <w:keepLines w:val="0"/>
              <w:widowControl/>
              <w:suppressLineNumbers w:val="0"/>
              <w:spacing w:line="288" w:lineRule="atLeast"/>
              <w:ind w:left="0" w:firstLine="0"/>
              <w:jc w:val="center"/>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4"/>
                <w:szCs w:val="24"/>
                <w:lang w:val="en-US" w:eastAsia="zh-CN" w:bidi="ar"/>
              </w:rPr>
              <w:drawing>
                <wp:inline distT="0" distB="0" distL="114300" distR="114300">
                  <wp:extent cx="5334000" cy="895350"/>
                  <wp:effectExtent l="0" t="0" r="0" b="3810"/>
                  <wp:docPr id="45"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6" descr="IMG_271"/>
                          <pic:cNvPicPr>
                            <a:picLocks noChangeAspect="1"/>
                          </pic:cNvPicPr>
                        </pic:nvPicPr>
                        <pic:blipFill>
                          <a:blip r:embed="rId19"/>
                          <a:stretch>
                            <a:fillRect/>
                          </a:stretch>
                        </pic:blipFill>
                        <pic:spPr>
                          <a:xfrm>
                            <a:off x="0" y="0"/>
                            <a:ext cx="5334000" cy="895350"/>
                          </a:xfrm>
                          <a:prstGeom prst="rect">
                            <a:avLst/>
                          </a:prstGeom>
                          <a:noFill/>
                          <a:ln w="9525">
                            <a:noFill/>
                          </a:ln>
                        </pic:spPr>
                      </pic:pic>
                    </a:graphicData>
                  </a:graphic>
                </wp:inline>
              </w:drawing>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2.出让土地特征</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bookmarkStart w:id="41" w:name="_Toc360803242"/>
            <w:bookmarkEnd w:id="41"/>
            <w:bookmarkStart w:id="42" w:name="_Toc360803136"/>
            <w:bookmarkEnd w:id="42"/>
            <w:bookmarkStart w:id="43" w:name="_Toc374521663"/>
            <w:bookmarkEnd w:id="43"/>
            <w:bookmarkStart w:id="44" w:name="_Toc372096371"/>
            <w:bookmarkEnd w:id="44"/>
            <w:bookmarkStart w:id="45" w:name="_Toc372095422"/>
            <w:bookmarkEnd w:id="45"/>
            <w:bookmarkStart w:id="46" w:name="_Toc372095341"/>
            <w:bookmarkEnd w:id="46"/>
            <w:bookmarkStart w:id="47" w:name="_Toc371849983"/>
            <w:bookmarkEnd w:id="47"/>
            <w:bookmarkStart w:id="48" w:name="_Toc371849858"/>
            <w:bookmarkEnd w:id="48"/>
            <w:bookmarkStart w:id="49" w:name="_Toc369853715"/>
            <w:bookmarkEnd w:id="49"/>
            <w:bookmarkStart w:id="50" w:name="_Toc366241971"/>
            <w:bookmarkEnd w:id="50"/>
            <w:r>
              <w:rPr>
                <w:rFonts w:hint="eastAsia" w:ascii="宋体" w:hAnsi="宋体" w:eastAsia="宋体" w:cs="宋体"/>
                <w:caps w:val="0"/>
                <w:spacing w:val="0"/>
                <w:kern w:val="0"/>
                <w:sz w:val="24"/>
                <w:szCs w:val="24"/>
                <w:lang w:val="en-US" w:eastAsia="zh-CN" w:bidi="ar"/>
              </w:rPr>
              <w:t>       </w:t>
            </w:r>
            <w:bookmarkStart w:id="51" w:name="_Toc360803241"/>
            <w:r>
              <w:rPr>
                <w:rFonts w:hint="eastAsia" w:ascii="宋体" w:hAnsi="宋体" w:eastAsia="宋体" w:cs="宋体"/>
                <w:caps w:val="0"/>
                <w:spacing w:val="0"/>
                <w:kern w:val="0"/>
                <w:sz w:val="20"/>
                <w:szCs w:val="20"/>
                <w:lang w:val="en-US" w:eastAsia="zh-CN" w:bidi="ar"/>
              </w:rPr>
              <w:t>从用地性质上来看，为商住类用地与工业用地，各占1宗。从区域上来看，分别位于掇刀区与高新区。本月住宅类用地均分布在掇刀区。</w:t>
            </w:r>
            <w:bookmarkEnd w:id="51"/>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供应情况：本月住宅类用地面积为0.7万方，环比减少72%，同比减少91%。</w:t>
            </w:r>
            <w:r>
              <w:rPr>
                <w:rFonts w:hint="eastAsia" w:ascii="宋体" w:hAnsi="宋体" w:eastAsia="宋体" w:cs="宋体"/>
                <w:b/>
                <w:caps w:val="0"/>
                <w:spacing w:val="0"/>
                <w:kern w:val="0"/>
                <w:sz w:val="20"/>
                <w:szCs w:val="20"/>
                <w:lang w:val="en-US" w:eastAsia="zh-CN" w:bidi="ar"/>
              </w:rPr>
              <w:t>住宅类用地同环比均大幅减少。</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本月仅掇刀区供应1宗住宅类用地。</w:t>
            </w:r>
            <w:r>
              <w:rPr>
                <w:rFonts w:hint="eastAsia" w:ascii="宋体" w:hAnsi="宋体" w:eastAsia="宋体" w:cs="宋体"/>
                <w:caps w:val="0"/>
                <w:spacing w:val="0"/>
                <w:kern w:val="0"/>
                <w:sz w:val="20"/>
                <w:szCs w:val="20"/>
                <w:lang w:val="en-US" w:eastAsia="zh-CN" w:bidi="ar"/>
              </w:rPr>
              <w:t>【荆土网挂（2014）35号】地块位于关公大道以北，楚天置业学校以西，属生态运动公园片区，附近楼盘有楚天城、万达华府，</w:t>
            </w:r>
            <w:r>
              <w:rPr>
                <w:rFonts w:hint="eastAsia" w:ascii="宋体" w:hAnsi="宋体" w:eastAsia="宋体" w:cs="宋体"/>
                <w:b/>
                <w:caps w:val="0"/>
                <w:spacing w:val="0"/>
                <w:kern w:val="0"/>
                <w:sz w:val="20"/>
                <w:szCs w:val="20"/>
                <w:lang w:val="en-US" w:eastAsia="zh-CN" w:bidi="ar"/>
              </w:rPr>
              <w:t>预计未来放量为3.7万方</w:t>
            </w:r>
            <w:r>
              <w:rPr>
                <w:rFonts w:hint="eastAsia" w:ascii="宋体" w:hAnsi="宋体" w:eastAsia="宋体" w:cs="宋体"/>
                <w:caps w:val="0"/>
                <w:spacing w:val="0"/>
                <w:kern w:val="0"/>
                <w:sz w:val="20"/>
                <w:szCs w:val="20"/>
                <w:lang w:val="en-US" w:eastAsia="zh-CN" w:bidi="ar"/>
              </w:rPr>
              <w:t>。</w:t>
            </w:r>
          </w:p>
          <w:p>
            <w:pPr>
              <w:pStyle w:val="3"/>
              <w:keepNext w:val="0"/>
              <w:keepLines w:val="0"/>
              <w:widowControl/>
              <w:suppressLineNumbers w:val="0"/>
              <w:spacing w:line="288" w:lineRule="atLeast"/>
              <w:jc w:val="left"/>
            </w:pPr>
            <w:r>
              <w:rPr>
                <w:caps w:val="0"/>
                <w:spacing w:val="0"/>
                <w:lang w:val="en-US"/>
              </w:rPr>
              <w:t>  </w:t>
            </w:r>
            <w:bookmarkStart w:id="52" w:name="_Toc403334980"/>
            <w:r>
              <w:rPr>
                <w:rFonts w:hint="eastAsia" w:ascii="宋体" w:hAnsi="宋体" w:eastAsia="宋体" w:cs="宋体"/>
                <w:caps w:val="0"/>
                <w:spacing w:val="0"/>
                <w:sz w:val="20"/>
                <w:szCs w:val="20"/>
                <w:lang w:val="en-US"/>
              </w:rPr>
              <w:t>二、本月土地成交情况</w:t>
            </w:r>
            <w:bookmarkEnd w:id="52"/>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1.本月成交地块</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本月成交地块3宗，成交土地面积6万方，成交金额0.34亿元，成交均价38万元/亩。本月成交总面积环比减少82%，同比减少58%；成交价格环比减少11%，同比减少27%。成交地块详情如下：</w:t>
            </w:r>
          </w:p>
          <w:p>
            <w:pPr>
              <w:keepNext w:val="0"/>
              <w:keepLines w:val="0"/>
              <w:widowControl/>
              <w:suppressLineNumbers w:val="0"/>
              <w:spacing w:line="288" w:lineRule="atLeast"/>
              <w:ind w:left="0" w:firstLine="0"/>
              <w:jc w:val="center"/>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10月成交地块详情</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5334000" cy="1400175"/>
                  <wp:effectExtent l="0" t="0" r="0" b="1905"/>
                  <wp:docPr id="35"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IMG_272"/>
                          <pic:cNvPicPr>
                            <a:picLocks noChangeAspect="1"/>
                          </pic:cNvPicPr>
                        </pic:nvPicPr>
                        <pic:blipFill>
                          <a:blip r:embed="rId20"/>
                          <a:stretch>
                            <a:fillRect/>
                          </a:stretch>
                        </pic:blipFill>
                        <pic:spPr>
                          <a:xfrm>
                            <a:off x="0" y="0"/>
                            <a:ext cx="5334000" cy="1400175"/>
                          </a:xfrm>
                          <a:prstGeom prst="rect">
                            <a:avLst/>
                          </a:prstGeom>
                          <a:noFill/>
                          <a:ln w="9525">
                            <a:noFill/>
                          </a:ln>
                        </pic:spPr>
                      </pic:pic>
                    </a:graphicData>
                  </a:graphic>
                </wp:inline>
              </w:drawing>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2.成交土地特征</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4"/>
                <w:szCs w:val="24"/>
                <w:lang w:val="en-US" w:eastAsia="zh-CN" w:bidi="ar"/>
              </w:rPr>
              <w:t>      </w:t>
            </w:r>
            <w:bookmarkStart w:id="53" w:name="_Toc374521664"/>
            <w:r>
              <w:rPr>
                <w:rFonts w:hint="eastAsia" w:ascii="宋体" w:hAnsi="宋体" w:eastAsia="宋体" w:cs="宋体"/>
                <w:caps w:val="0"/>
                <w:spacing w:val="0"/>
                <w:kern w:val="0"/>
                <w:sz w:val="20"/>
                <w:szCs w:val="20"/>
                <w:lang w:val="en-US" w:eastAsia="zh-CN" w:bidi="ar"/>
              </w:rPr>
              <w:t>从用地性质来看，以商业类用地为主，其中商业、商服、住宅用地各1宗；从用地区域来看，以掇刀区为主，其中掇刀区成交2宗，漳河新区1宗。本次成交的住宅类用地位于高新区。</w:t>
            </w:r>
            <w:bookmarkEnd w:id="53"/>
            <w:r>
              <w:rPr>
                <w:rFonts w:hint="eastAsia" w:ascii="宋体" w:hAnsi="宋体" w:eastAsia="宋体" w:cs="宋体"/>
                <w:caps w:val="0"/>
                <w:spacing w:val="0"/>
                <w:kern w:val="0"/>
                <w:sz w:val="20"/>
                <w:szCs w:val="20"/>
                <w:lang w:val="en-US" w:eastAsia="zh-CN" w:bidi="ar"/>
              </w:rPr>
              <w:t>其中住宅类用地环比减少98%，同比减少82%。</w:t>
            </w:r>
            <w:r>
              <w:rPr>
                <w:rFonts w:hint="eastAsia" w:ascii="宋体" w:hAnsi="宋体" w:eastAsia="宋体" w:cs="宋体"/>
                <w:b/>
                <w:caps w:val="0"/>
                <w:spacing w:val="0"/>
                <w:kern w:val="0"/>
                <w:sz w:val="20"/>
                <w:szCs w:val="20"/>
                <w:lang w:val="en-US" w:eastAsia="zh-CN" w:bidi="ar"/>
              </w:rPr>
              <w:t>住宅类用地成交量大幅度下跌。</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本月仅掇刀区成交1宗住宅用地。</w:t>
            </w:r>
            <w:r>
              <w:rPr>
                <w:rFonts w:hint="eastAsia" w:ascii="宋体" w:hAnsi="宋体" w:eastAsia="宋体" w:cs="宋体"/>
                <w:caps w:val="0"/>
                <w:spacing w:val="0"/>
                <w:kern w:val="0"/>
                <w:sz w:val="20"/>
                <w:szCs w:val="20"/>
                <w:lang w:val="en-US" w:eastAsia="zh-CN" w:bidi="ar"/>
              </w:rPr>
              <w:t>【荆土网挂（2014）33号】位于荆门市掇刀区深圳大道东段以北、市飞图混凝土有限公司以西，属掇刀区政府片区，由荆门市鑫林置业有限公司以</w:t>
            </w:r>
            <w:r>
              <w:rPr>
                <w:rFonts w:hint="eastAsia" w:ascii="宋体" w:hAnsi="宋体" w:eastAsia="宋体" w:cs="宋体"/>
                <w:b/>
                <w:caps w:val="0"/>
                <w:spacing w:val="0"/>
                <w:kern w:val="0"/>
                <w:sz w:val="20"/>
                <w:szCs w:val="20"/>
                <w:lang w:val="en-US" w:eastAsia="zh-CN" w:bidi="ar"/>
              </w:rPr>
              <w:t>715元/㎡的楼面价</w:t>
            </w:r>
            <w:r>
              <w:rPr>
                <w:rFonts w:hint="eastAsia" w:ascii="宋体" w:hAnsi="宋体" w:eastAsia="宋体" w:cs="宋体"/>
                <w:caps w:val="0"/>
                <w:spacing w:val="0"/>
                <w:kern w:val="0"/>
                <w:sz w:val="20"/>
                <w:szCs w:val="20"/>
                <w:lang w:val="en-US" w:eastAsia="zh-CN" w:bidi="ar"/>
              </w:rPr>
              <w:t>竞得。</w:t>
            </w:r>
          </w:p>
          <w:p>
            <w:pPr>
              <w:pStyle w:val="2"/>
              <w:keepNext w:val="0"/>
              <w:keepLines w:val="0"/>
              <w:widowControl/>
              <w:suppressLineNumbers w:val="0"/>
              <w:spacing w:line="288" w:lineRule="atLeast"/>
              <w:jc w:val="center"/>
            </w:pPr>
            <w:bookmarkStart w:id="54" w:name="_Toc403334981"/>
            <w:r>
              <w:rPr>
                <w:rFonts w:hint="eastAsia" w:ascii="宋体" w:hAnsi="宋体" w:eastAsia="宋体" w:cs="宋体"/>
                <w:caps w:val="0"/>
                <w:spacing w:val="0"/>
                <w:sz w:val="27"/>
                <w:szCs w:val="27"/>
                <w:lang w:val="en-US"/>
              </w:rPr>
              <w:t>第三部分   </w:t>
            </w:r>
            <w:bookmarkEnd w:id="54"/>
            <w:r>
              <w:rPr>
                <w:rFonts w:hint="eastAsia" w:ascii="宋体" w:hAnsi="宋体" w:eastAsia="宋体" w:cs="宋体"/>
                <w:caps w:val="0"/>
                <w:spacing w:val="0"/>
                <w:sz w:val="27"/>
                <w:szCs w:val="27"/>
                <w:lang w:val="en-US"/>
              </w:rPr>
              <w:t>荆门楼市供求分析</w:t>
            </w:r>
          </w:p>
          <w:p>
            <w:pPr>
              <w:pStyle w:val="3"/>
              <w:keepNext w:val="0"/>
              <w:keepLines w:val="0"/>
              <w:widowControl/>
              <w:suppressLineNumbers w:val="0"/>
              <w:spacing w:line="288" w:lineRule="atLeast"/>
              <w:jc w:val="left"/>
            </w:pPr>
            <w:bookmarkStart w:id="55" w:name="_Toc403334982"/>
            <w:bookmarkEnd w:id="55"/>
            <w:bookmarkStart w:id="56" w:name="_Toc358387317"/>
            <w:bookmarkEnd w:id="56"/>
            <w:r>
              <w:rPr>
                <w:caps w:val="0"/>
                <w:spacing w:val="0"/>
                <w:lang w:val="en-US"/>
              </w:rPr>
              <w:t>    </w:t>
            </w:r>
            <w:bookmarkStart w:id="57" w:name="_Toc17547"/>
            <w:r>
              <w:rPr>
                <w:rFonts w:hint="eastAsia" w:ascii="宋体" w:hAnsi="宋体" w:eastAsia="宋体" w:cs="宋体"/>
                <w:caps w:val="0"/>
                <w:spacing w:val="0"/>
                <w:sz w:val="20"/>
                <w:szCs w:val="20"/>
                <w:lang w:val="en-US"/>
              </w:rPr>
              <w:t>一、住宅成交情况</w:t>
            </w:r>
            <w:bookmarkEnd w:id="57"/>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10月荆门市住宅类商品房交易情况对照表</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4800600" cy="657225"/>
                  <wp:effectExtent l="0" t="0" r="0" b="13335"/>
                  <wp:docPr id="19"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273"/>
                          <pic:cNvPicPr>
                            <a:picLocks noChangeAspect="1"/>
                          </pic:cNvPicPr>
                        </pic:nvPicPr>
                        <pic:blipFill>
                          <a:blip r:embed="rId21"/>
                          <a:stretch>
                            <a:fillRect/>
                          </a:stretch>
                        </pic:blipFill>
                        <pic:spPr>
                          <a:xfrm>
                            <a:off x="0" y="0"/>
                            <a:ext cx="4800600" cy="657225"/>
                          </a:xfrm>
                          <a:prstGeom prst="rect">
                            <a:avLst/>
                          </a:prstGeom>
                          <a:noFill/>
                          <a:ln w="9525">
                            <a:noFill/>
                          </a:ln>
                        </pic:spPr>
                      </pic:pic>
                    </a:graphicData>
                  </a:graphic>
                </wp:inline>
              </w:drawing>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住宅成交量环比有所增加。</w:t>
            </w:r>
            <w:r>
              <w:rPr>
                <w:rFonts w:hint="eastAsia" w:ascii="宋体" w:hAnsi="宋体" w:eastAsia="宋体" w:cs="宋体"/>
                <w:caps w:val="0"/>
                <w:spacing w:val="0"/>
                <w:kern w:val="0"/>
                <w:sz w:val="20"/>
                <w:szCs w:val="20"/>
                <w:lang w:val="en-US" w:eastAsia="zh-CN" w:bidi="ar"/>
              </w:rPr>
              <w:t>据荆门市房</w:t>
            </w:r>
            <w:bookmarkStart w:id="58" w:name="_Toc358387321"/>
            <w:r>
              <w:rPr>
                <w:rFonts w:hint="eastAsia" w:ascii="宋体" w:hAnsi="宋体" w:eastAsia="宋体" w:cs="宋体"/>
                <w:caps w:val="0"/>
                <w:spacing w:val="0"/>
                <w:kern w:val="0"/>
                <w:sz w:val="20"/>
                <w:szCs w:val="20"/>
                <w:lang w:val="en-US" w:eastAsia="zh-CN" w:bidi="ar"/>
              </w:rPr>
              <w:t>地产市场信息发布平台数据显示：</w:t>
            </w:r>
            <w:bookmarkEnd w:id="58"/>
            <w:r>
              <w:rPr>
                <w:rFonts w:hint="eastAsia" w:ascii="宋体" w:hAnsi="宋体" w:eastAsia="宋体" w:cs="宋体"/>
                <w:caps w:val="0"/>
                <w:spacing w:val="0"/>
                <w:kern w:val="0"/>
                <w:sz w:val="20"/>
                <w:szCs w:val="20"/>
                <w:lang w:val="en-US" w:eastAsia="zh-CN" w:bidi="ar"/>
              </w:rPr>
              <w:t>2014年10月，荆门市住宅类商品房成交总套数720套，较2014年9月增加了53套，环比增加8%；销售总面积79654.68㎡，较2014年9月增加了1472.68㎡，环比增加2%；销售均价3831.45元/㎡，较2014年9月上涨了292.49元/㎡，环比增加8.3%。</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住宅市场未有较大突破，表现平平。</w:t>
            </w:r>
            <w:r>
              <w:rPr>
                <w:rFonts w:hint="eastAsia" w:ascii="宋体" w:hAnsi="宋体" w:eastAsia="宋体" w:cs="宋体"/>
                <w:caps w:val="0"/>
                <w:spacing w:val="0"/>
                <w:kern w:val="0"/>
                <w:sz w:val="20"/>
                <w:szCs w:val="20"/>
                <w:lang w:val="en-US" w:eastAsia="zh-CN" w:bidi="ar"/>
              </w:rPr>
              <w:t>本月成交量虽然较9月而言有所增加，但是仍然处在低水平。十月价格环比有所上涨，主要是受成交区域及产品影响。</w:t>
            </w:r>
          </w:p>
          <w:p>
            <w:pPr>
              <w:keepNext w:val="0"/>
              <w:keepLines w:val="0"/>
              <w:widowControl/>
              <w:suppressLineNumbers w:val="0"/>
              <w:spacing w:line="288" w:lineRule="atLeast"/>
              <w:ind w:left="0" w:firstLine="0"/>
              <w:jc w:val="center"/>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4"/>
                <w:szCs w:val="24"/>
                <w:lang w:val="en-US" w:eastAsia="zh-CN" w:bidi="ar"/>
              </w:rPr>
              <w:t> </w:t>
            </w:r>
          </w:p>
          <w:p>
            <w:pPr>
              <w:keepNext w:val="0"/>
              <w:keepLines w:val="0"/>
              <w:widowControl/>
              <w:suppressLineNumbers w:val="0"/>
              <w:spacing w:line="288" w:lineRule="atLeast"/>
              <w:ind w:left="0" w:firstLine="0"/>
              <w:jc w:val="center"/>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表一：2014年2-10月住宅成交情况一览</w:t>
            </w:r>
          </w:p>
          <w:p>
            <w:pPr>
              <w:keepNext w:val="0"/>
              <w:keepLines w:val="0"/>
              <w:widowControl/>
              <w:suppressLineNumbers w:val="0"/>
              <w:spacing w:line="288" w:lineRule="atLeast"/>
              <w:ind w:left="0" w:firstLine="0"/>
              <w:jc w:val="center"/>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4"/>
                <w:szCs w:val="24"/>
                <w:lang w:val="en-US" w:eastAsia="zh-CN" w:bidi="ar"/>
              </w:rPr>
              <w:drawing>
                <wp:inline distT="0" distB="0" distL="114300" distR="114300">
                  <wp:extent cx="2447925" cy="1600200"/>
                  <wp:effectExtent l="0" t="0" r="5715" b="0"/>
                  <wp:docPr id="3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descr="IMG_274"/>
                          <pic:cNvPicPr>
                            <a:picLocks noChangeAspect="1"/>
                          </pic:cNvPicPr>
                        </pic:nvPicPr>
                        <pic:blipFill>
                          <a:blip r:embed="rId22"/>
                          <a:stretch>
                            <a:fillRect/>
                          </a:stretch>
                        </pic:blipFill>
                        <pic:spPr>
                          <a:xfrm>
                            <a:off x="0" y="0"/>
                            <a:ext cx="2447925" cy="1600200"/>
                          </a:xfrm>
                          <a:prstGeom prst="rect">
                            <a:avLst/>
                          </a:prstGeom>
                          <a:noFill/>
                          <a:ln w="9525">
                            <a:noFill/>
                          </a:ln>
                        </pic:spPr>
                      </pic:pic>
                    </a:graphicData>
                  </a:graphic>
                </wp:inline>
              </w:drawing>
            </w:r>
            <w:r>
              <w:rPr>
                <w:rStyle w:val="7"/>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drawing>
                <wp:inline distT="0" distB="0" distL="114300" distR="114300">
                  <wp:extent cx="2667000" cy="1600200"/>
                  <wp:effectExtent l="0" t="0" r="0" b="0"/>
                  <wp:docPr id="4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descr="IMG_275"/>
                          <pic:cNvPicPr>
                            <a:picLocks noChangeAspect="1"/>
                          </pic:cNvPicPr>
                        </pic:nvPicPr>
                        <pic:blipFill>
                          <a:blip r:embed="rId23"/>
                          <a:stretch>
                            <a:fillRect/>
                          </a:stretch>
                        </pic:blipFill>
                        <pic:spPr>
                          <a:xfrm>
                            <a:off x="0" y="0"/>
                            <a:ext cx="2667000" cy="1600200"/>
                          </a:xfrm>
                          <a:prstGeom prst="rect">
                            <a:avLst/>
                          </a:prstGeom>
                          <a:noFill/>
                          <a:ln w="9525">
                            <a:noFill/>
                          </a:ln>
                        </pic:spPr>
                      </pic:pic>
                    </a:graphicData>
                  </a:graphic>
                </wp:inline>
              </w:drawing>
            </w:r>
          </w:p>
          <w:p>
            <w:pPr>
              <w:pStyle w:val="3"/>
              <w:keepNext w:val="0"/>
              <w:keepLines w:val="0"/>
              <w:widowControl/>
              <w:suppressLineNumbers w:val="0"/>
              <w:spacing w:line="288" w:lineRule="atLeast"/>
              <w:ind w:left="0" w:firstLine="602"/>
              <w:jc w:val="left"/>
            </w:pPr>
            <w:bookmarkStart w:id="59" w:name="_Toc403334983"/>
            <w:r>
              <w:rPr>
                <w:rFonts w:hint="eastAsia" w:ascii="宋体" w:hAnsi="宋体" w:eastAsia="宋体" w:cs="宋体"/>
                <w:caps w:val="0"/>
                <w:spacing w:val="0"/>
                <w:sz w:val="20"/>
                <w:szCs w:val="20"/>
                <w:lang w:val="en-US"/>
              </w:rPr>
              <w:t>二、非住宅成交情况</w:t>
            </w:r>
            <w:bookmarkEnd w:id="59"/>
          </w:p>
          <w:p>
            <w:pPr>
              <w:pStyle w:val="4"/>
              <w:keepNext w:val="0"/>
              <w:keepLines w:val="0"/>
              <w:widowControl/>
              <w:suppressLineNumbers w:val="0"/>
              <w:spacing w:before="0" w:beforeAutospacing="0" w:after="0" w:afterAutospacing="0" w:line="288" w:lineRule="atLeast"/>
              <w:ind w:left="0" w:right="0" w:firstLine="0"/>
              <w:jc w:val="center"/>
            </w:pPr>
            <w:r>
              <w:rPr>
                <w:rFonts w:hint="eastAsia" w:ascii="宋体" w:hAnsi="宋体" w:eastAsia="宋体" w:cs="宋体"/>
                <w:b/>
                <w:caps w:val="0"/>
                <w:spacing w:val="0"/>
                <w:sz w:val="20"/>
                <w:szCs w:val="20"/>
                <w:lang w:val="en-US"/>
              </w:rPr>
              <w:t>10月荆门市非住宅类商品房交易情况对照表</w:t>
            </w:r>
            <w:r>
              <w:rPr>
                <w:rFonts w:hint="eastAsia" w:ascii="宋体" w:hAnsi="宋体" w:eastAsia="宋体" w:cs="宋体"/>
                <w:b/>
                <w:caps w:val="0"/>
                <w:spacing w:val="0"/>
                <w:sz w:val="24"/>
                <w:szCs w:val="24"/>
                <w:lang w:val="en-US"/>
              </w:rPr>
              <w:t>：</w:t>
            </w:r>
          </w:p>
          <w:p>
            <w:pPr>
              <w:pStyle w:val="4"/>
              <w:keepNext w:val="0"/>
              <w:keepLines w:val="0"/>
              <w:widowControl/>
              <w:suppressLineNumbers w:val="0"/>
              <w:spacing w:before="0" w:beforeAutospacing="0" w:after="0" w:afterAutospacing="0" w:line="288" w:lineRule="atLeast"/>
              <w:ind w:left="0" w:right="0" w:firstLine="0"/>
              <w:jc w:val="center"/>
            </w:pPr>
            <w:r>
              <w:rPr>
                <w:rFonts w:hint="eastAsia" w:ascii="宋体" w:hAnsi="宋体" w:eastAsia="宋体" w:cs="宋体"/>
                <w:b/>
                <w:caps w:val="0"/>
                <w:spacing w:val="0"/>
                <w:sz w:val="24"/>
                <w:szCs w:val="24"/>
                <w:lang w:val="en-US"/>
              </w:rPr>
              <w:drawing>
                <wp:inline distT="0" distB="0" distL="114300" distR="114300">
                  <wp:extent cx="4800600" cy="752475"/>
                  <wp:effectExtent l="0" t="0" r="0" b="9525"/>
                  <wp:docPr id="20"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IMG_276"/>
                          <pic:cNvPicPr>
                            <a:picLocks noChangeAspect="1"/>
                          </pic:cNvPicPr>
                        </pic:nvPicPr>
                        <pic:blipFill>
                          <a:blip r:embed="rId24"/>
                          <a:stretch>
                            <a:fillRect/>
                          </a:stretch>
                        </pic:blipFill>
                        <pic:spPr>
                          <a:xfrm>
                            <a:off x="0" y="0"/>
                            <a:ext cx="4800600" cy="752475"/>
                          </a:xfrm>
                          <a:prstGeom prst="rect">
                            <a:avLst/>
                          </a:prstGeom>
                          <a:noFill/>
                          <a:ln w="9525">
                            <a:noFill/>
                          </a:ln>
                        </pic:spPr>
                      </pic:pic>
                    </a:graphicData>
                  </a:graphic>
                </wp:inline>
              </w:drawing>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非住宅成交面积环比减少。据荆门市房地产市场信息发布平台数据显示：2014年10月，荆门市非住宅类商品房成交总套数106套，较2014年9月减少了63套，环比减少了37%；销售总面积22916.13㎡，较2014年9月增加了89284.81㎡，环比增加1.05倍；销售均价7239.11元/㎡，较2014年9月上涨了507.11元/㎡，环比增加8%。</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本月成交套数不及上月，然而在成交面积与成交均价上却力压9月，可知其大面积商铺成交量较多且成交区域认知度比较高。</w:t>
            </w:r>
          </w:p>
          <w:p>
            <w:pPr>
              <w:keepNext w:val="0"/>
              <w:keepLines w:val="0"/>
              <w:widowControl/>
              <w:suppressLineNumbers w:val="0"/>
              <w:spacing w:line="288" w:lineRule="atLeast"/>
              <w:ind w:left="0" w:firstLine="0"/>
              <w:jc w:val="center"/>
              <w:rPr>
                <w:rFonts w:hint="eastAsia" w:ascii="宋体" w:hAnsi="宋体" w:eastAsia="宋体" w:cs="宋体"/>
                <w:caps w:val="0"/>
                <w:spacing w:val="0"/>
                <w:sz w:val="24"/>
                <w:szCs w:val="24"/>
                <w:lang w:val="en-US"/>
              </w:rPr>
            </w:pPr>
            <w:r>
              <w:rPr>
                <w:rStyle w:val="7"/>
                <w:rFonts w:hint="eastAsia" w:ascii="宋体" w:hAnsi="宋体" w:eastAsia="宋体" w:cs="宋体"/>
                <w:caps w:val="0"/>
                <w:spacing w:val="0"/>
                <w:kern w:val="0"/>
                <w:sz w:val="20"/>
                <w:szCs w:val="20"/>
                <w:lang w:val="en-US" w:eastAsia="zh-CN" w:bidi="ar"/>
              </w:rPr>
              <w:t>表一：2014年2-10月非住宅成交情况一览</w:t>
            </w:r>
          </w:p>
          <w:p>
            <w:pPr>
              <w:keepNext w:val="0"/>
              <w:keepLines w:val="0"/>
              <w:widowControl/>
              <w:suppressLineNumbers w:val="0"/>
              <w:spacing w:line="288" w:lineRule="atLeast"/>
              <w:ind w:left="0" w:firstLine="0"/>
              <w:jc w:val="center"/>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4"/>
                <w:szCs w:val="24"/>
                <w:lang w:val="en-US" w:eastAsia="zh-CN" w:bidi="ar"/>
              </w:rPr>
              <w:drawing>
                <wp:inline distT="0" distB="0" distL="114300" distR="114300">
                  <wp:extent cx="2390775" cy="1600200"/>
                  <wp:effectExtent l="0" t="0" r="1905" b="0"/>
                  <wp:docPr id="24"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descr="IMG_277"/>
                          <pic:cNvPicPr>
                            <a:picLocks noChangeAspect="1"/>
                          </pic:cNvPicPr>
                        </pic:nvPicPr>
                        <pic:blipFill>
                          <a:blip r:embed="rId25"/>
                          <a:stretch>
                            <a:fillRect/>
                          </a:stretch>
                        </pic:blipFill>
                        <pic:spPr>
                          <a:xfrm>
                            <a:off x="0" y="0"/>
                            <a:ext cx="2390775" cy="1600200"/>
                          </a:xfrm>
                          <a:prstGeom prst="rect">
                            <a:avLst/>
                          </a:prstGeom>
                          <a:noFill/>
                          <a:ln w="9525">
                            <a:noFill/>
                          </a:ln>
                        </pic:spPr>
                      </pic:pic>
                    </a:graphicData>
                  </a:graphic>
                </wp:inline>
              </w:drawing>
            </w:r>
            <w:r>
              <w:rPr>
                <w:rFonts w:hint="eastAsia" w:ascii="宋体" w:hAnsi="宋体" w:eastAsia="宋体" w:cs="宋体"/>
                <w:caps w:val="0"/>
                <w:spacing w:val="0"/>
                <w:kern w:val="0"/>
                <w:sz w:val="24"/>
                <w:szCs w:val="24"/>
                <w:lang w:val="en-US" w:eastAsia="zh-CN" w:bidi="ar"/>
              </w:rPr>
              <w:drawing>
                <wp:inline distT="0" distB="0" distL="114300" distR="114300">
                  <wp:extent cx="2571750" cy="1600200"/>
                  <wp:effectExtent l="0" t="0" r="3810" b="0"/>
                  <wp:docPr id="21"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descr="IMG_278"/>
                          <pic:cNvPicPr>
                            <a:picLocks noChangeAspect="1"/>
                          </pic:cNvPicPr>
                        </pic:nvPicPr>
                        <pic:blipFill>
                          <a:blip r:embed="rId26"/>
                          <a:stretch>
                            <a:fillRect/>
                          </a:stretch>
                        </pic:blipFill>
                        <pic:spPr>
                          <a:xfrm>
                            <a:off x="0" y="0"/>
                            <a:ext cx="2571750" cy="1600200"/>
                          </a:xfrm>
                          <a:prstGeom prst="rect">
                            <a:avLst/>
                          </a:prstGeom>
                          <a:noFill/>
                          <a:ln w="9525">
                            <a:noFill/>
                          </a:ln>
                        </pic:spPr>
                      </pic:pic>
                    </a:graphicData>
                  </a:graphic>
                </wp:inline>
              </w:drawing>
            </w:r>
          </w:p>
          <w:p>
            <w:pPr>
              <w:pStyle w:val="3"/>
              <w:keepNext w:val="0"/>
              <w:keepLines w:val="0"/>
              <w:widowControl/>
              <w:suppressLineNumbers w:val="0"/>
              <w:spacing w:line="288" w:lineRule="atLeast"/>
              <w:jc w:val="left"/>
            </w:pPr>
            <w:r>
              <w:rPr>
                <w:caps w:val="0"/>
                <w:spacing w:val="0"/>
                <w:lang w:val="en-US"/>
              </w:rPr>
              <w:t>    </w:t>
            </w:r>
            <w:bookmarkStart w:id="60" w:name="_Toc403334984"/>
            <w:r>
              <w:rPr>
                <w:rFonts w:hint="eastAsia" w:ascii="宋体" w:hAnsi="宋体" w:eastAsia="宋体" w:cs="宋体"/>
                <w:caps w:val="0"/>
                <w:spacing w:val="0"/>
                <w:sz w:val="20"/>
                <w:szCs w:val="20"/>
                <w:lang w:val="en-US"/>
              </w:rPr>
              <w:t>三、总体成交分析</w:t>
            </w:r>
            <w:bookmarkEnd w:id="60"/>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中央持续发力，救市举措不断。继松绑限购放开限贷后，紧接着又降低了住房公积金门槛，这些动作节奏连续且快，至少说明现在</w:t>
            </w:r>
            <w:r>
              <w:rPr>
                <w:rFonts w:hint="eastAsia" w:ascii="宋体" w:hAnsi="宋体" w:eastAsia="宋体" w:cs="宋体"/>
                <w:b/>
                <w:caps w:val="0"/>
                <w:spacing w:val="0"/>
                <w:kern w:val="0"/>
                <w:sz w:val="20"/>
                <w:szCs w:val="20"/>
                <w:lang w:val="en-US" w:eastAsia="zh-CN" w:bidi="ar"/>
              </w:rPr>
              <w:t>市场行情确实不乐观</w:t>
            </w:r>
            <w:r>
              <w:rPr>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本月荆门市场并未迎来“银十”气象，表现冷淡。</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十月荆门楼市行情较九月有所好转，其成交量为826套，环比增加12%。可纵观今年以来荆门商品房成交情况来看，大多集中在1000-1300套范围内，而相比之下低于900套的成交量属于垫底水平。十月本是传统销售旺季，但是成交量却处在低位，</w:t>
            </w:r>
            <w:r>
              <w:rPr>
                <w:rFonts w:hint="eastAsia" w:ascii="宋体" w:hAnsi="宋体" w:eastAsia="宋体" w:cs="宋体"/>
                <w:b/>
                <w:caps w:val="0"/>
                <w:spacing w:val="0"/>
                <w:kern w:val="0"/>
                <w:sz w:val="20"/>
                <w:szCs w:val="20"/>
                <w:lang w:val="en-US" w:eastAsia="zh-CN" w:bidi="ar"/>
              </w:rPr>
              <w:t>荆门楼市乏力</w:t>
            </w:r>
            <w:r>
              <w:rPr>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冬天来了，春天还会远吗？对于困境仍要报以希望。返乡置业潮即将到来，在新政的作用下，荆门楼市现状可能会有所改善。</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4267200" cy="2657475"/>
                  <wp:effectExtent l="0" t="0" r="0" b="9525"/>
                  <wp:docPr id="29"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descr="IMG_279"/>
                          <pic:cNvPicPr>
                            <a:picLocks noChangeAspect="1"/>
                          </pic:cNvPicPr>
                        </pic:nvPicPr>
                        <pic:blipFill>
                          <a:blip r:embed="rId27"/>
                          <a:stretch>
                            <a:fillRect/>
                          </a:stretch>
                        </pic:blipFill>
                        <pic:spPr>
                          <a:xfrm>
                            <a:off x="0" y="0"/>
                            <a:ext cx="4267200" cy="2657475"/>
                          </a:xfrm>
                          <a:prstGeom prst="rect">
                            <a:avLst/>
                          </a:prstGeom>
                          <a:noFill/>
                          <a:ln w="9525">
                            <a:noFill/>
                          </a:ln>
                        </pic:spPr>
                      </pic:pic>
                    </a:graphicData>
                  </a:graphic>
                </wp:inline>
              </w:drawing>
            </w:r>
          </w:p>
          <w:p>
            <w:pPr>
              <w:pStyle w:val="3"/>
              <w:keepNext w:val="0"/>
              <w:keepLines w:val="0"/>
              <w:widowControl/>
              <w:suppressLineNumbers w:val="0"/>
              <w:spacing w:line="288" w:lineRule="atLeast"/>
              <w:jc w:val="left"/>
            </w:pPr>
            <w:r>
              <w:rPr>
                <w:caps w:val="0"/>
                <w:spacing w:val="0"/>
                <w:lang w:val="en-US"/>
              </w:rPr>
              <w:t>    </w:t>
            </w:r>
            <w:bookmarkStart w:id="61" w:name="_Toc403334985"/>
            <w:r>
              <w:rPr>
                <w:rFonts w:hint="eastAsia" w:ascii="宋体" w:hAnsi="宋体" w:eastAsia="宋体" w:cs="宋体"/>
                <w:caps w:val="0"/>
                <w:spacing w:val="0"/>
                <w:sz w:val="20"/>
                <w:szCs w:val="20"/>
                <w:lang w:val="en-US"/>
              </w:rPr>
              <w:t>四、住宅成交价格分析</w:t>
            </w:r>
            <w:bookmarkEnd w:id="61"/>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目前荆门市</w:t>
            </w:r>
            <w:r>
              <w:rPr>
                <w:rFonts w:hint="eastAsia" w:ascii="宋体" w:hAnsi="宋体" w:eastAsia="宋体" w:cs="宋体"/>
                <w:b/>
                <w:caps w:val="0"/>
                <w:spacing w:val="0"/>
                <w:kern w:val="0"/>
                <w:sz w:val="20"/>
                <w:szCs w:val="20"/>
                <w:lang w:val="en-US" w:eastAsia="zh-CN" w:bidi="ar"/>
              </w:rPr>
              <w:t>销售均价</w:t>
            </w:r>
            <w:r>
              <w:rPr>
                <w:rFonts w:hint="eastAsia" w:ascii="宋体" w:hAnsi="宋体" w:eastAsia="宋体" w:cs="宋体"/>
                <w:caps w:val="0"/>
                <w:spacing w:val="0"/>
                <w:kern w:val="0"/>
                <w:sz w:val="20"/>
                <w:szCs w:val="20"/>
                <w:lang w:val="en-US" w:eastAsia="zh-CN" w:bidi="ar"/>
              </w:rPr>
              <w:t>主要集中在</w:t>
            </w:r>
            <w:r>
              <w:rPr>
                <w:rFonts w:hint="eastAsia" w:ascii="宋体" w:hAnsi="宋体" w:eastAsia="宋体" w:cs="宋体"/>
                <w:b/>
                <w:caps w:val="0"/>
                <w:spacing w:val="0"/>
                <w:kern w:val="0"/>
                <w:sz w:val="20"/>
                <w:szCs w:val="20"/>
                <w:lang w:val="en-US" w:eastAsia="zh-CN" w:bidi="ar"/>
              </w:rPr>
              <w:t>3000-4000元/㎡</w:t>
            </w:r>
            <w:r>
              <w:rPr>
                <w:rFonts w:hint="eastAsia" w:ascii="宋体" w:hAnsi="宋体" w:eastAsia="宋体" w:cs="宋体"/>
                <w:caps w:val="0"/>
                <w:spacing w:val="0"/>
                <w:kern w:val="0"/>
                <w:sz w:val="20"/>
                <w:szCs w:val="20"/>
                <w:lang w:val="en-US" w:eastAsia="zh-CN" w:bidi="ar"/>
              </w:rPr>
              <w:t>。本月销售均价在2000-3000元/㎡住宅项目占住宅总销量的4%，环比减少54%；</w:t>
            </w:r>
            <w:r>
              <w:rPr>
                <w:rFonts w:hint="eastAsia" w:ascii="宋体" w:hAnsi="宋体" w:eastAsia="宋体" w:cs="宋体"/>
                <w:b/>
                <w:caps w:val="0"/>
                <w:spacing w:val="0"/>
                <w:kern w:val="0"/>
                <w:sz w:val="20"/>
                <w:szCs w:val="20"/>
                <w:lang w:val="en-US" w:eastAsia="zh-CN" w:bidi="ar"/>
              </w:rPr>
              <w:t>3000—4000元/㎡占比87%，</w:t>
            </w:r>
            <w:r>
              <w:rPr>
                <w:rFonts w:hint="eastAsia" w:ascii="宋体" w:hAnsi="宋体" w:eastAsia="宋体" w:cs="宋体"/>
                <w:caps w:val="0"/>
                <w:spacing w:val="0"/>
                <w:kern w:val="0"/>
                <w:sz w:val="20"/>
                <w:szCs w:val="20"/>
                <w:lang w:val="en-US" w:eastAsia="zh-CN" w:bidi="ar"/>
              </w:rPr>
              <w:t>环比增加6%；</w:t>
            </w:r>
            <w:r>
              <w:rPr>
                <w:rFonts w:hint="eastAsia" w:ascii="宋体" w:hAnsi="宋体" w:eastAsia="宋体" w:cs="宋体"/>
                <w:b/>
                <w:caps w:val="0"/>
                <w:spacing w:val="0"/>
                <w:kern w:val="0"/>
                <w:sz w:val="20"/>
                <w:szCs w:val="20"/>
                <w:lang w:val="en-US" w:eastAsia="zh-CN" w:bidi="ar"/>
              </w:rPr>
              <w:t>4000—5000元/㎡</w:t>
            </w:r>
            <w:r>
              <w:rPr>
                <w:rFonts w:hint="eastAsia" w:ascii="宋体" w:hAnsi="宋体" w:eastAsia="宋体" w:cs="宋体"/>
                <w:caps w:val="0"/>
                <w:spacing w:val="0"/>
                <w:kern w:val="0"/>
                <w:sz w:val="20"/>
                <w:szCs w:val="20"/>
                <w:lang w:val="en-US" w:eastAsia="zh-CN" w:bidi="ar"/>
              </w:rPr>
              <w:t>占比4%，</w:t>
            </w:r>
            <w:r>
              <w:rPr>
                <w:rFonts w:hint="eastAsia" w:ascii="宋体" w:hAnsi="宋体" w:eastAsia="宋体" w:cs="宋体"/>
                <w:b/>
                <w:caps w:val="0"/>
                <w:spacing w:val="0"/>
                <w:kern w:val="0"/>
                <w:sz w:val="20"/>
                <w:szCs w:val="20"/>
                <w:lang w:val="en-US" w:eastAsia="zh-CN" w:bidi="ar"/>
              </w:rPr>
              <w:t>环比减少54%</w:t>
            </w:r>
            <w:r>
              <w:rPr>
                <w:rFonts w:hint="eastAsia" w:ascii="宋体" w:hAnsi="宋体" w:eastAsia="宋体" w:cs="宋体"/>
                <w:caps w:val="0"/>
                <w:spacing w:val="0"/>
                <w:kern w:val="0"/>
                <w:sz w:val="20"/>
                <w:szCs w:val="20"/>
                <w:lang w:val="en-US" w:eastAsia="zh-CN" w:bidi="ar"/>
              </w:rPr>
              <w:t>；7000-8000元/㎡占比4%，为豪宅产品。从而可知，十月价格的增加与相对较好地段豪宅产品成交是有密切关系的。</w:t>
            </w:r>
          </w:p>
          <w:p>
            <w:pPr>
              <w:keepNext w:val="0"/>
              <w:keepLines w:val="0"/>
              <w:widowControl/>
              <w:suppressLineNumbers w:val="0"/>
              <w:spacing w:line="288" w:lineRule="atLeast"/>
              <w:ind w:left="0" w:firstLine="0"/>
              <w:jc w:val="center"/>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10月商品房住宅销售均价对比图</w:t>
            </w:r>
          </w:p>
          <w:p>
            <w:pPr>
              <w:keepNext w:val="0"/>
              <w:keepLines w:val="0"/>
              <w:widowControl/>
              <w:suppressLineNumbers w:val="0"/>
              <w:spacing w:line="288" w:lineRule="atLeast"/>
              <w:ind w:left="0" w:firstLine="0"/>
              <w:jc w:val="center"/>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drawing>
                <wp:inline distT="0" distB="0" distL="114300" distR="114300">
                  <wp:extent cx="4267200" cy="2533650"/>
                  <wp:effectExtent l="0" t="0" r="0" b="11430"/>
                  <wp:docPr id="26"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IMG_280"/>
                          <pic:cNvPicPr>
                            <a:picLocks noChangeAspect="1"/>
                          </pic:cNvPicPr>
                        </pic:nvPicPr>
                        <pic:blipFill>
                          <a:blip r:embed="rId28"/>
                          <a:stretch>
                            <a:fillRect/>
                          </a:stretch>
                        </pic:blipFill>
                        <pic:spPr>
                          <a:xfrm>
                            <a:off x="0" y="0"/>
                            <a:ext cx="4267200" cy="2533650"/>
                          </a:xfrm>
                          <a:prstGeom prst="rect">
                            <a:avLst/>
                          </a:prstGeom>
                          <a:noFill/>
                          <a:ln w="9525">
                            <a:noFill/>
                          </a:ln>
                        </pic:spPr>
                      </pic:pic>
                    </a:graphicData>
                  </a:graphic>
                </wp:inline>
              </w:drawing>
            </w:r>
          </w:p>
          <w:p>
            <w:pPr>
              <w:pStyle w:val="3"/>
              <w:keepNext w:val="0"/>
              <w:keepLines w:val="0"/>
              <w:widowControl/>
              <w:suppressLineNumbers w:val="0"/>
              <w:spacing w:line="288" w:lineRule="atLeast"/>
              <w:jc w:val="left"/>
            </w:pPr>
            <w:r>
              <w:rPr>
                <w:caps w:val="0"/>
                <w:spacing w:val="0"/>
                <w:lang w:val="en-US"/>
              </w:rPr>
              <w:t>    </w:t>
            </w:r>
            <w:bookmarkStart w:id="62" w:name="_Toc403334986"/>
            <w:r>
              <w:rPr>
                <w:rFonts w:hint="eastAsia" w:ascii="宋体" w:hAnsi="宋体" w:eastAsia="宋体" w:cs="宋体"/>
                <w:caps w:val="0"/>
                <w:spacing w:val="0"/>
                <w:sz w:val="20"/>
                <w:szCs w:val="20"/>
                <w:lang w:val="en-US"/>
              </w:rPr>
              <w:t>五、新增供应楼盘</w:t>
            </w:r>
            <w:bookmarkEnd w:id="62"/>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本月</w:t>
            </w:r>
            <w:r>
              <w:rPr>
                <w:rFonts w:hint="eastAsia" w:ascii="宋体" w:hAnsi="宋体" w:eastAsia="宋体" w:cs="宋体"/>
                <w:b/>
                <w:caps w:val="0"/>
                <w:spacing w:val="0"/>
                <w:kern w:val="0"/>
                <w:sz w:val="20"/>
                <w:szCs w:val="20"/>
                <w:lang w:val="en-US" w:eastAsia="zh-CN" w:bidi="ar"/>
              </w:rPr>
              <w:t>新增</w:t>
            </w:r>
            <w:r>
              <w:rPr>
                <w:rFonts w:hint="eastAsia" w:ascii="宋体" w:hAnsi="宋体" w:eastAsia="宋体" w:cs="宋体"/>
                <w:caps w:val="0"/>
                <w:spacing w:val="0"/>
                <w:kern w:val="0"/>
                <w:sz w:val="20"/>
                <w:szCs w:val="20"/>
                <w:lang w:val="en-US" w:eastAsia="zh-CN" w:bidi="ar"/>
              </w:rPr>
              <w:t>商品房预售</w:t>
            </w:r>
            <w:r>
              <w:rPr>
                <w:rFonts w:hint="eastAsia" w:ascii="宋体" w:hAnsi="宋体" w:eastAsia="宋体" w:cs="宋体"/>
                <w:b/>
                <w:caps w:val="0"/>
                <w:spacing w:val="0"/>
                <w:kern w:val="0"/>
                <w:sz w:val="20"/>
                <w:szCs w:val="20"/>
                <w:lang w:val="en-US" w:eastAsia="zh-CN" w:bidi="ar"/>
              </w:rPr>
              <w:t>面积</w:t>
            </w:r>
            <w:r>
              <w:rPr>
                <w:rFonts w:hint="eastAsia" w:ascii="宋体" w:hAnsi="宋体" w:eastAsia="宋体" w:cs="宋体"/>
                <w:caps w:val="0"/>
                <w:spacing w:val="0"/>
                <w:kern w:val="0"/>
                <w:sz w:val="20"/>
                <w:szCs w:val="20"/>
                <w:lang w:val="en-US" w:eastAsia="zh-CN" w:bidi="ar"/>
              </w:rPr>
              <w:t>14.8万方，</w:t>
            </w:r>
            <w:r>
              <w:rPr>
                <w:rFonts w:hint="eastAsia" w:ascii="宋体" w:hAnsi="宋体" w:eastAsia="宋体" w:cs="宋体"/>
                <w:b/>
                <w:caps w:val="0"/>
                <w:spacing w:val="0"/>
                <w:kern w:val="0"/>
                <w:sz w:val="20"/>
                <w:szCs w:val="20"/>
                <w:lang w:val="en-US" w:eastAsia="zh-CN" w:bidi="ar"/>
              </w:rPr>
              <w:t>较上月有所减少</w:t>
            </w:r>
            <w:r>
              <w:rPr>
                <w:rFonts w:hint="eastAsia" w:ascii="宋体" w:hAnsi="宋体" w:eastAsia="宋体" w:cs="宋体"/>
                <w:caps w:val="0"/>
                <w:spacing w:val="0"/>
                <w:kern w:val="0"/>
                <w:sz w:val="20"/>
                <w:szCs w:val="20"/>
                <w:lang w:val="en-US" w:eastAsia="zh-CN" w:bidi="ar"/>
              </w:rPr>
              <w:t>，环比减少9%，其中东宝区新增面积为9.5万方，掇刀区为5.3万方。</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从区域上来看，</w:t>
            </w:r>
            <w:r>
              <w:rPr>
                <w:rFonts w:hint="eastAsia" w:ascii="宋体" w:hAnsi="宋体" w:eastAsia="宋体" w:cs="宋体"/>
                <w:b/>
                <w:caps w:val="0"/>
                <w:spacing w:val="0"/>
                <w:kern w:val="0"/>
                <w:sz w:val="20"/>
                <w:szCs w:val="20"/>
                <w:lang w:val="en-US" w:eastAsia="zh-CN" w:bidi="ar"/>
              </w:rPr>
              <w:t>以掇刀区所占楼盘数居多</w:t>
            </w:r>
            <w:r>
              <w:rPr>
                <w:rFonts w:hint="eastAsia" w:ascii="宋体" w:hAnsi="宋体" w:eastAsia="宋体" w:cs="宋体"/>
                <w:caps w:val="0"/>
                <w:spacing w:val="0"/>
                <w:kern w:val="0"/>
                <w:sz w:val="20"/>
                <w:szCs w:val="20"/>
                <w:lang w:val="en-US" w:eastAsia="zh-CN" w:bidi="ar"/>
              </w:rPr>
              <w:t>。从用途上来看，本月几乎全为</w:t>
            </w:r>
            <w:r>
              <w:rPr>
                <w:rFonts w:hint="eastAsia" w:ascii="宋体" w:hAnsi="宋体" w:eastAsia="宋体" w:cs="宋体"/>
                <w:b/>
                <w:caps w:val="0"/>
                <w:spacing w:val="0"/>
                <w:kern w:val="0"/>
                <w:sz w:val="20"/>
                <w:szCs w:val="20"/>
                <w:lang w:val="en-US" w:eastAsia="zh-CN" w:bidi="ar"/>
              </w:rPr>
              <w:t>住宅项目</w:t>
            </w:r>
            <w:r>
              <w:rPr>
                <w:rFonts w:hint="eastAsia" w:ascii="宋体" w:hAnsi="宋体" w:eastAsia="宋体" w:cs="宋体"/>
                <w:caps w:val="0"/>
                <w:spacing w:val="0"/>
                <w:kern w:val="0"/>
                <w:sz w:val="20"/>
                <w:szCs w:val="20"/>
                <w:lang w:val="en-US" w:eastAsia="zh-CN" w:bidi="ar"/>
              </w:rPr>
              <w:t>，而天鹅山庄供应量较大，为9.5万方，此次推出的是1-4、36、38-44#房源，为8栋18层高层与4栋3层多层。</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5334000" cy="2762250"/>
                  <wp:effectExtent l="0" t="0" r="0" b="11430"/>
                  <wp:docPr id="4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descr="IMG_281"/>
                          <pic:cNvPicPr>
                            <a:picLocks noChangeAspect="1"/>
                          </pic:cNvPicPr>
                        </pic:nvPicPr>
                        <pic:blipFill>
                          <a:blip r:embed="rId29"/>
                          <a:stretch>
                            <a:fillRect/>
                          </a:stretch>
                        </pic:blipFill>
                        <pic:spPr>
                          <a:xfrm>
                            <a:off x="0" y="0"/>
                            <a:ext cx="5334000" cy="2762250"/>
                          </a:xfrm>
                          <a:prstGeom prst="rect">
                            <a:avLst/>
                          </a:prstGeom>
                          <a:noFill/>
                          <a:ln w="9525">
                            <a:noFill/>
                          </a:ln>
                        </pic:spPr>
                      </pic:pic>
                    </a:graphicData>
                  </a:graphic>
                </wp:inline>
              </w:drawing>
            </w:r>
          </w:p>
          <w:p>
            <w:pPr>
              <w:pStyle w:val="2"/>
              <w:keepNext w:val="0"/>
              <w:keepLines w:val="0"/>
              <w:widowControl/>
              <w:suppressLineNumbers w:val="0"/>
              <w:spacing w:line="288" w:lineRule="atLeast"/>
              <w:jc w:val="center"/>
            </w:pPr>
            <w:bookmarkStart w:id="63" w:name="_Toc403334987"/>
            <w:r>
              <w:rPr>
                <w:rFonts w:hint="eastAsia" w:ascii="宋体" w:hAnsi="宋体" w:eastAsia="宋体" w:cs="宋体"/>
                <w:caps w:val="0"/>
                <w:spacing w:val="0"/>
                <w:sz w:val="27"/>
                <w:szCs w:val="27"/>
                <w:lang w:val="en-US"/>
              </w:rPr>
              <w:t>第四部分   </w:t>
            </w:r>
            <w:bookmarkEnd w:id="63"/>
            <w:r>
              <w:rPr>
                <w:rFonts w:hint="eastAsia" w:ascii="宋体" w:hAnsi="宋体" w:eastAsia="宋体" w:cs="宋体"/>
                <w:caps w:val="0"/>
                <w:spacing w:val="0"/>
                <w:sz w:val="27"/>
                <w:szCs w:val="27"/>
                <w:lang w:val="en-US"/>
              </w:rPr>
              <w:t>热点楼盘动态</w:t>
            </w:r>
          </w:p>
          <w:p>
            <w:pPr>
              <w:pStyle w:val="3"/>
              <w:keepNext w:val="0"/>
              <w:keepLines w:val="0"/>
              <w:widowControl/>
              <w:suppressLineNumbers w:val="0"/>
              <w:spacing w:line="288" w:lineRule="atLeast"/>
              <w:jc w:val="left"/>
            </w:pPr>
            <w:r>
              <w:rPr>
                <w:caps w:val="0"/>
                <w:spacing w:val="0"/>
                <w:lang w:val="en-US"/>
              </w:rPr>
              <w:t>    </w:t>
            </w:r>
            <w:bookmarkStart w:id="64" w:name="_Toc403334988"/>
            <w:r>
              <w:rPr>
                <w:rFonts w:hint="eastAsia" w:ascii="宋体" w:hAnsi="宋体" w:eastAsia="宋体" w:cs="宋体"/>
                <w:caps w:val="0"/>
                <w:spacing w:val="0"/>
                <w:sz w:val="20"/>
                <w:szCs w:val="20"/>
                <w:lang w:val="en-US"/>
              </w:rPr>
              <w:t>一、中央华府</w:t>
            </w:r>
            <w:bookmarkEnd w:id="64"/>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虎牙关大道与白石坡大道交汇处；</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◇开 发 商：</w:t>
            </w:r>
            <w:r>
              <w:rPr>
                <w:rFonts w:hint="eastAsia" w:ascii="宋体" w:hAnsi="宋体" w:eastAsia="宋体" w:cs="宋体"/>
                <w:caps w:val="0"/>
                <w:spacing w:val="0"/>
                <w:kern w:val="0"/>
                <w:sz w:val="20"/>
                <w:szCs w:val="20"/>
                <w:lang w:val="en-US" w:eastAsia="zh-CN" w:bidi="ar"/>
              </w:rPr>
              <w:t>湖北宏晨置业有限公司；</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◇项目规模：</w:t>
            </w:r>
            <w:r>
              <w:rPr>
                <w:rFonts w:hint="eastAsia" w:ascii="宋体" w:hAnsi="宋体" w:eastAsia="宋体" w:cs="宋体"/>
                <w:caps w:val="0"/>
                <w:spacing w:val="0"/>
                <w:kern w:val="0"/>
                <w:sz w:val="20"/>
                <w:szCs w:val="20"/>
                <w:lang w:val="en-US" w:eastAsia="zh-CN" w:bidi="ar"/>
              </w:rPr>
              <w:t>总建面25万方，其中商业约2万方，容积率4.7，绿化率40%，共有1600多户，车位配比超1:1。</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由10栋31-33层的建筑组成，沿街区域分布有3层的底商；小区引进智能物管及wifi全覆盖新科技以打造信息化社区，并规划有幼儿园。</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◇形象定位：</w:t>
            </w:r>
            <w:r>
              <w:rPr>
                <w:rFonts w:hint="eastAsia" w:ascii="宋体" w:hAnsi="宋体" w:eastAsia="宋体" w:cs="宋体"/>
                <w:caps w:val="0"/>
                <w:spacing w:val="0"/>
                <w:kern w:val="0"/>
                <w:sz w:val="20"/>
                <w:szCs w:val="20"/>
                <w:lang w:val="en-US" w:eastAsia="zh-CN" w:bidi="ar"/>
              </w:rPr>
              <w:t>终身教育区·中心科技城；</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◇建筑风格：</w:t>
            </w:r>
            <w:r>
              <w:rPr>
                <w:rFonts w:hint="eastAsia" w:ascii="宋体" w:hAnsi="宋体" w:eastAsia="宋体" w:cs="宋体"/>
                <w:caps w:val="0"/>
                <w:spacing w:val="0"/>
                <w:kern w:val="0"/>
                <w:sz w:val="20"/>
                <w:szCs w:val="20"/>
                <w:lang w:val="en-US" w:eastAsia="zh-CN" w:bidi="ar"/>
              </w:rPr>
              <w:t>欧式风格；</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◇主力户型： </w:t>
            </w:r>
            <w:r>
              <w:rPr>
                <w:rFonts w:hint="eastAsia" w:ascii="宋体" w:hAnsi="宋体" w:eastAsia="宋体" w:cs="宋体"/>
                <w:caps w:val="0"/>
                <w:spacing w:val="0"/>
                <w:kern w:val="0"/>
                <w:sz w:val="20"/>
                <w:szCs w:val="20"/>
                <w:lang w:val="en-US" w:eastAsia="zh-CN" w:bidi="ar"/>
              </w:rPr>
              <w:t>Aa1户型   三房二厅二卫   114.8-133.6㎡     占比25%；</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Aa3户型   三房二厅一卫   98.37-104.14㎡    占比25%；</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B1户型   三房二厅二卫   109.86-120.67㎡   占比25%；</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B3户型   二房二厅一卫   82.4-89.37㎡      占比25%；</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◇项目动态：</w:t>
            </w:r>
            <w:r>
              <w:rPr>
                <w:rFonts w:hint="eastAsia" w:ascii="宋体" w:hAnsi="宋体" w:eastAsia="宋体" w:cs="宋体"/>
                <w:caps w:val="0"/>
                <w:spacing w:val="0"/>
                <w:kern w:val="0"/>
                <w:sz w:val="20"/>
                <w:szCs w:val="20"/>
                <w:lang w:val="en-US" w:eastAsia="zh-CN" w:bidi="ar"/>
              </w:rPr>
              <w:t>其营销中心已开放，主推3-5#楼，预计11月份认筹，12月份开盘，现在项目处于形象展示阶段。</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邻近虎牙关大道，项目昭示性强，其主打“一站式”教育与科技社区；与南京路片区楼盘相比，其周边缺少居住氛围，生活相对不便；与十里牌附近楼盘相比，资源均好性不足。</w:t>
            </w:r>
          </w:p>
          <w:p>
            <w:pPr>
              <w:pStyle w:val="3"/>
              <w:keepNext w:val="0"/>
              <w:keepLines w:val="0"/>
              <w:widowControl/>
              <w:suppressLineNumbers w:val="0"/>
              <w:spacing w:line="288" w:lineRule="atLeast"/>
              <w:jc w:val="left"/>
            </w:pPr>
            <w:r>
              <w:rPr>
                <w:caps w:val="0"/>
                <w:spacing w:val="0"/>
                <w:lang w:val="en-US"/>
              </w:rPr>
              <w:t>    </w:t>
            </w:r>
            <w:bookmarkStart w:id="65" w:name="_Toc403334989"/>
            <w:r>
              <w:rPr>
                <w:rFonts w:hint="eastAsia" w:ascii="宋体" w:hAnsi="宋体" w:eastAsia="宋体" w:cs="宋体"/>
                <w:caps w:val="0"/>
                <w:spacing w:val="0"/>
                <w:sz w:val="20"/>
                <w:szCs w:val="20"/>
                <w:lang w:val="en-US"/>
              </w:rPr>
              <w:t>二、亿龙福星城</w:t>
            </w:r>
            <w:bookmarkEnd w:id="65"/>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名泉路与虎牙关大道交汇处；</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◇开 发 商：</w:t>
            </w:r>
            <w:r>
              <w:rPr>
                <w:rFonts w:hint="eastAsia" w:ascii="宋体" w:hAnsi="宋体" w:eastAsia="宋体" w:cs="宋体"/>
                <w:caps w:val="0"/>
                <w:spacing w:val="0"/>
                <w:kern w:val="0"/>
                <w:sz w:val="20"/>
                <w:szCs w:val="20"/>
                <w:lang w:val="en-US" w:eastAsia="zh-CN" w:bidi="ar"/>
              </w:rPr>
              <w:t>荆门市亿龙房地产开发有限公司；</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◇项目规模：</w:t>
            </w:r>
            <w:r>
              <w:rPr>
                <w:rFonts w:hint="eastAsia" w:ascii="宋体" w:hAnsi="宋体" w:eastAsia="宋体" w:cs="宋体"/>
                <w:caps w:val="0"/>
                <w:spacing w:val="0"/>
                <w:kern w:val="0"/>
                <w:sz w:val="20"/>
                <w:szCs w:val="20"/>
                <w:lang w:val="en-US" w:eastAsia="zh-CN" w:bidi="ar"/>
              </w:rPr>
              <w:t>总占面4.8万方，总建面15万方，容积率2.8，绿化率36%，总户数1018户，车位配比1:1。</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由12栋高层与小高层组成；分三期开发，目前开发的为一期，1-7#楼。</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◇形象定位：</w:t>
            </w:r>
            <w:r>
              <w:rPr>
                <w:rFonts w:hint="eastAsia" w:ascii="宋体" w:hAnsi="宋体" w:eastAsia="宋体" w:cs="宋体"/>
                <w:caps w:val="0"/>
                <w:spacing w:val="0"/>
                <w:kern w:val="0"/>
                <w:sz w:val="20"/>
                <w:szCs w:val="20"/>
                <w:lang w:val="en-US" w:eastAsia="zh-CN" w:bidi="ar"/>
              </w:rPr>
              <w:t>15万方城市精英福邸；</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◇主力户型：</w:t>
            </w:r>
            <w:r>
              <w:rPr>
                <w:rFonts w:hint="eastAsia" w:ascii="宋体" w:hAnsi="宋体" w:eastAsia="宋体" w:cs="宋体"/>
                <w:caps w:val="0"/>
                <w:spacing w:val="0"/>
                <w:kern w:val="0"/>
                <w:sz w:val="20"/>
                <w:szCs w:val="20"/>
                <w:lang w:val="en-US" w:eastAsia="zh-CN" w:bidi="ar"/>
              </w:rPr>
              <w:t>共9种户型。</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3×2×2   103-108㎡   占比50%       3×2×2   118㎡   占比10%； </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4×2×2   125-129㎡   占比20%       4×2×2   138㎡   占比20%；</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108㎡                           138㎡</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2038350" cy="2000250"/>
                  <wp:effectExtent l="0" t="0" r="3810" b="11430"/>
                  <wp:docPr id="39"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descr="IMG_282"/>
                          <pic:cNvPicPr>
                            <a:picLocks noChangeAspect="1"/>
                          </pic:cNvPicPr>
                        </pic:nvPicPr>
                        <pic:blipFill>
                          <a:blip r:embed="rId30"/>
                          <a:stretch>
                            <a:fillRect/>
                          </a:stretch>
                        </pic:blipFill>
                        <pic:spPr>
                          <a:xfrm>
                            <a:off x="0" y="0"/>
                            <a:ext cx="2038350" cy="2000250"/>
                          </a:xfrm>
                          <a:prstGeom prst="rect">
                            <a:avLst/>
                          </a:prstGeom>
                          <a:noFill/>
                          <a:ln w="9525">
                            <a:noFill/>
                          </a:ln>
                        </pic:spPr>
                      </pic:pic>
                    </a:graphicData>
                  </a:graphic>
                </wp:inline>
              </w:drawing>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2219325" cy="2000250"/>
                  <wp:effectExtent l="0" t="0" r="5715" b="11430"/>
                  <wp:docPr id="36"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descr="IMG_283"/>
                          <pic:cNvPicPr>
                            <a:picLocks noChangeAspect="1"/>
                          </pic:cNvPicPr>
                        </pic:nvPicPr>
                        <pic:blipFill>
                          <a:blip r:embed="rId31"/>
                          <a:stretch>
                            <a:fillRect/>
                          </a:stretch>
                        </pic:blipFill>
                        <pic:spPr>
                          <a:xfrm>
                            <a:off x="0" y="0"/>
                            <a:ext cx="2219325" cy="2000250"/>
                          </a:xfrm>
                          <a:prstGeom prst="rect">
                            <a:avLst/>
                          </a:prstGeom>
                          <a:noFill/>
                          <a:ln w="9525">
                            <a:noFill/>
                          </a:ln>
                        </pic:spPr>
                      </pic:pic>
                    </a:graphicData>
                  </a:graphic>
                </wp:inline>
              </w:drawing>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◇项目动态：</w:t>
            </w:r>
            <w:r>
              <w:rPr>
                <w:rFonts w:hint="eastAsia" w:ascii="宋体" w:hAnsi="宋体" w:eastAsia="宋体" w:cs="宋体"/>
                <w:caps w:val="0"/>
                <w:spacing w:val="0"/>
                <w:kern w:val="0"/>
                <w:sz w:val="20"/>
                <w:szCs w:val="20"/>
                <w:lang w:val="en-US" w:eastAsia="zh-CN" w:bidi="ar"/>
              </w:rPr>
              <w:t>现阶段1-3#楼在售，购房享2万元及98/99折优惠，均价为3900元/㎡左右。其一期4-7#楼将会在明年上半年推出。</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地处掇刀转盘，配套齐全，大部分户型为双阳台设计；而项目内部无特色的景观配套，且营销中心位于私宅后面，昭示性不强。</w:t>
            </w:r>
          </w:p>
          <w:p>
            <w:pPr>
              <w:pStyle w:val="3"/>
              <w:keepNext w:val="0"/>
              <w:keepLines w:val="0"/>
              <w:widowControl/>
              <w:suppressLineNumbers w:val="0"/>
              <w:spacing w:line="288" w:lineRule="atLeast"/>
              <w:jc w:val="left"/>
            </w:pPr>
            <w:r>
              <w:rPr>
                <w:caps w:val="0"/>
                <w:spacing w:val="0"/>
                <w:lang w:val="en-US"/>
              </w:rPr>
              <w:t>    </w:t>
            </w:r>
            <w:bookmarkStart w:id="66" w:name="_Toc403334990"/>
            <w:r>
              <w:rPr>
                <w:rFonts w:hint="eastAsia" w:ascii="宋体" w:hAnsi="宋体" w:eastAsia="宋体" w:cs="宋体"/>
                <w:caps w:val="0"/>
                <w:spacing w:val="0"/>
                <w:sz w:val="20"/>
                <w:szCs w:val="20"/>
                <w:lang w:val="en-US"/>
              </w:rPr>
              <w:t>三、宏阳阿卡迪亚</w:t>
            </w:r>
            <w:bookmarkEnd w:id="66"/>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位于龙井大道与培公大道交汇处（半山豪苑斜对面）；</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◇开 发 商：</w:t>
            </w:r>
            <w:r>
              <w:rPr>
                <w:rFonts w:hint="eastAsia" w:ascii="宋体" w:hAnsi="宋体" w:eastAsia="宋体" w:cs="宋体"/>
                <w:caps w:val="0"/>
                <w:spacing w:val="0"/>
                <w:kern w:val="0"/>
                <w:sz w:val="20"/>
                <w:szCs w:val="20"/>
                <w:lang w:val="en-US" w:eastAsia="zh-CN" w:bidi="ar"/>
              </w:rPr>
              <w:t>湖北鼎尊房地产开发有限公司；</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◇项目规模：</w:t>
            </w:r>
            <w:r>
              <w:rPr>
                <w:rFonts w:hint="eastAsia" w:ascii="宋体" w:hAnsi="宋体" w:eastAsia="宋体" w:cs="宋体"/>
                <w:caps w:val="0"/>
                <w:spacing w:val="0"/>
                <w:kern w:val="0"/>
                <w:sz w:val="20"/>
                <w:szCs w:val="20"/>
                <w:lang w:val="en-US" w:eastAsia="zh-CN" w:bidi="ar"/>
              </w:rPr>
              <w:t>总占面3.5万方，总建面9万方，绿化率30%，容积率2.6。其中商业建面1.1万方，住宅总建面6.4万方，总户数630户，车位配比近1:1。</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由5栋高层建筑围合而成，其中A、B、C、D栋为31层的高层，E栋为30层的高层，且其规划有8000㎡中心花园。其中D、E栋规划为襄荆高速员工住房，其余为商品房。</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◇形象定位：</w:t>
            </w:r>
            <w:r>
              <w:rPr>
                <w:rFonts w:hint="eastAsia" w:ascii="宋体" w:hAnsi="宋体" w:eastAsia="宋体" w:cs="宋体"/>
                <w:caps w:val="0"/>
                <w:spacing w:val="0"/>
                <w:kern w:val="0"/>
                <w:sz w:val="20"/>
                <w:szCs w:val="20"/>
                <w:lang w:val="en-US" w:eastAsia="zh-CN" w:bidi="ar"/>
              </w:rPr>
              <w:t>十里牌·山林居·中心城；</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◇建筑风格：</w:t>
            </w:r>
            <w:r>
              <w:rPr>
                <w:rFonts w:hint="eastAsia" w:ascii="宋体" w:hAnsi="宋体" w:eastAsia="宋体" w:cs="宋体"/>
                <w:caps w:val="0"/>
                <w:spacing w:val="0"/>
                <w:kern w:val="0"/>
                <w:sz w:val="20"/>
                <w:szCs w:val="20"/>
                <w:lang w:val="en-US" w:eastAsia="zh-CN" w:bidi="ar"/>
              </w:rPr>
              <w:t>地中海风格；</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◇主力户型：</w:t>
            </w:r>
            <w:r>
              <w:rPr>
                <w:rFonts w:hint="eastAsia" w:ascii="宋体" w:hAnsi="宋体" w:eastAsia="宋体" w:cs="宋体"/>
                <w:caps w:val="0"/>
                <w:spacing w:val="0"/>
                <w:kern w:val="0"/>
                <w:sz w:val="20"/>
                <w:szCs w:val="20"/>
                <w:lang w:val="en-US" w:eastAsia="zh-CN" w:bidi="ar"/>
              </w:rPr>
              <w:t>共4种户型；</w:t>
            </w:r>
          </w:p>
          <w:p>
            <w:pPr>
              <w:keepNext w:val="0"/>
              <w:keepLines w:val="0"/>
              <w:widowControl/>
              <w:suppressLineNumbers w:val="0"/>
              <w:spacing w:line="288" w:lineRule="atLeast"/>
              <w:ind w:left="0" w:firstLine="0"/>
              <w:jc w:val="center"/>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A  2×2×1  82㎡   占比17%    B  2×2×1  92㎡   占比33%</w:t>
            </w:r>
          </w:p>
          <w:p>
            <w:pPr>
              <w:keepNext w:val="0"/>
              <w:keepLines w:val="0"/>
              <w:widowControl/>
              <w:suppressLineNumbers w:val="0"/>
              <w:spacing w:line="288" w:lineRule="atLeast"/>
              <w:ind w:left="0" w:firstLine="0"/>
              <w:jc w:val="center"/>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C  3×2×1  108㎡  占比25%    D  3×2×2  118㎡  占比25%</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◇项目动态：</w:t>
            </w:r>
            <w:r>
              <w:rPr>
                <w:rFonts w:hint="eastAsia" w:ascii="宋体" w:hAnsi="宋体" w:eastAsia="宋体" w:cs="宋体"/>
                <w:caps w:val="0"/>
                <w:spacing w:val="0"/>
                <w:kern w:val="0"/>
                <w:sz w:val="20"/>
                <w:szCs w:val="20"/>
                <w:lang w:val="en-US" w:eastAsia="zh-CN" w:bidi="ar"/>
              </w:rPr>
              <w:t>会员招募中，预计11月初认筹，年底将开盘。B、C栋在建设主体工程，A栋基础工程施工中。预计此次将会先推B、C两栋，共计216套房源。</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地段配套齐全，与十里牌小学相距较近；配有8000㎡的中心花园，提升居住舒适度。</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2771775" cy="1600200"/>
                  <wp:effectExtent l="0" t="0" r="1905" b="0"/>
                  <wp:docPr id="33"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descr="IMG_284"/>
                          <pic:cNvPicPr>
                            <a:picLocks noChangeAspect="1"/>
                          </pic:cNvPicPr>
                        </pic:nvPicPr>
                        <pic:blipFill>
                          <a:blip r:embed="rId32"/>
                          <a:stretch>
                            <a:fillRect/>
                          </a:stretch>
                        </pic:blipFill>
                        <pic:spPr>
                          <a:xfrm>
                            <a:off x="0" y="0"/>
                            <a:ext cx="2771775" cy="1600200"/>
                          </a:xfrm>
                          <a:prstGeom prst="rect">
                            <a:avLst/>
                          </a:prstGeom>
                          <a:noFill/>
                          <a:ln w="9525">
                            <a:noFill/>
                          </a:ln>
                        </pic:spPr>
                      </pic:pic>
                    </a:graphicData>
                  </a:graphic>
                </wp:inline>
              </w:drawing>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2066925" cy="1600200"/>
                  <wp:effectExtent l="0" t="0" r="5715" b="0"/>
                  <wp:docPr id="30"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85"/>
                          <pic:cNvPicPr>
                            <a:picLocks noChangeAspect="1"/>
                          </pic:cNvPicPr>
                        </pic:nvPicPr>
                        <pic:blipFill>
                          <a:blip r:embed="rId33"/>
                          <a:stretch>
                            <a:fillRect/>
                          </a:stretch>
                        </pic:blipFill>
                        <pic:spPr>
                          <a:xfrm>
                            <a:off x="0" y="0"/>
                            <a:ext cx="2066925" cy="1600200"/>
                          </a:xfrm>
                          <a:prstGeom prst="rect">
                            <a:avLst/>
                          </a:prstGeom>
                          <a:noFill/>
                          <a:ln w="9525">
                            <a:noFill/>
                          </a:ln>
                        </pic:spPr>
                      </pic:pic>
                    </a:graphicData>
                  </a:graphic>
                </wp:inline>
              </w:drawing>
            </w:r>
          </w:p>
          <w:p>
            <w:pPr>
              <w:pStyle w:val="3"/>
              <w:keepNext w:val="0"/>
              <w:keepLines w:val="0"/>
              <w:widowControl/>
              <w:suppressLineNumbers w:val="0"/>
              <w:spacing w:line="288" w:lineRule="atLeast"/>
              <w:jc w:val="left"/>
            </w:pPr>
            <w:r>
              <w:rPr>
                <w:caps w:val="0"/>
                <w:spacing w:val="0"/>
                <w:lang w:val="en-US"/>
              </w:rPr>
              <w:t>    </w:t>
            </w:r>
            <w:bookmarkStart w:id="67" w:name="_Toc403334991"/>
            <w:r>
              <w:rPr>
                <w:rFonts w:hint="eastAsia" w:ascii="宋体" w:hAnsi="宋体" w:eastAsia="宋体" w:cs="宋体"/>
                <w:caps w:val="0"/>
                <w:spacing w:val="0"/>
                <w:sz w:val="20"/>
                <w:szCs w:val="20"/>
                <w:lang w:val="en-US"/>
              </w:rPr>
              <w:t>四、飞扬新天城</w:t>
            </w:r>
            <w:bookmarkEnd w:id="67"/>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掇刀虎牙关大道西侧（文体中心对面）；</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◇开 发 商：</w:t>
            </w:r>
            <w:r>
              <w:rPr>
                <w:rFonts w:hint="eastAsia" w:ascii="宋体" w:hAnsi="宋体" w:eastAsia="宋体" w:cs="宋体"/>
                <w:caps w:val="0"/>
                <w:spacing w:val="0"/>
                <w:kern w:val="0"/>
                <w:sz w:val="20"/>
                <w:szCs w:val="20"/>
                <w:lang w:val="en-US" w:eastAsia="zh-CN" w:bidi="ar"/>
              </w:rPr>
              <w:t>湖北飞扬房地产开发有限公司；</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◇项目规模：</w:t>
            </w:r>
            <w:r>
              <w:rPr>
                <w:rFonts w:hint="eastAsia" w:ascii="宋体" w:hAnsi="宋体" w:eastAsia="宋体" w:cs="宋体"/>
                <w:caps w:val="0"/>
                <w:spacing w:val="0"/>
                <w:kern w:val="0"/>
                <w:sz w:val="20"/>
                <w:szCs w:val="20"/>
                <w:lang w:val="en-US" w:eastAsia="zh-CN" w:bidi="ar"/>
              </w:rPr>
              <w:t>总建面11.8万方，建筑规模约38万㎡，其中住宅约26万方，商业约7万方，容积率2.2，绿化率35%。</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规划有电梯多层花园洋房、小高层、高层、酒店公寓、写字楼等多种物业形态；户型从一室到四室，面积从40㎡至210㎡，更有荆门独一无二的近百米高度的空中别墅。</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◇形象定位：</w:t>
            </w:r>
            <w:r>
              <w:rPr>
                <w:rFonts w:hint="eastAsia" w:ascii="宋体" w:hAnsi="宋体" w:eastAsia="宋体" w:cs="宋体"/>
                <w:caps w:val="0"/>
                <w:spacing w:val="0"/>
                <w:kern w:val="0"/>
                <w:sz w:val="20"/>
                <w:szCs w:val="20"/>
                <w:lang w:val="en-US" w:eastAsia="zh-CN" w:bidi="ar"/>
              </w:rPr>
              <w:t>智慧荆门先行区；</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◇户型面积：</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E  3×2×2  138㎡      H  3×2×2  123㎡ </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G  3×2×2  131㎡      F  3×2×4  208㎡  </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D  4×2×2  147㎡      C  4×2×2  150㎡</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◇项目动态：</w:t>
            </w:r>
            <w:r>
              <w:rPr>
                <w:rFonts w:hint="eastAsia" w:ascii="宋体" w:hAnsi="宋体" w:eastAsia="宋体" w:cs="宋体"/>
                <w:caps w:val="0"/>
                <w:spacing w:val="0"/>
                <w:kern w:val="0"/>
                <w:sz w:val="20"/>
                <w:szCs w:val="20"/>
                <w:lang w:val="en-US" w:eastAsia="zh-CN" w:bidi="ar"/>
              </w:rPr>
              <w:t>2期首开4栋，1栋高层、3栋洋房，共计房源184套，现阶段以B2高层与B5洋房销售为主，其余楼栋少量房源在售。目前购房享97/99折、微信在线订房减免5000元、微信集赞送5000元车位置业金、2000元智能家居套装及3000元生活大礼包的优惠。洋房均价4500元/㎡，高层均价4200元∕㎡。</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城南新区与老城结合的黄金位置、数字化小区、配有7万方商业、拥有三大景观组团，项目地段优越，自身配套条件出众，优势明显。</w:t>
            </w:r>
            <w:bookmarkStart w:id="68" w:name="_Toc395713184"/>
            <w:bookmarkEnd w:id="68"/>
          </w:p>
          <w:p>
            <w:pPr>
              <w:pStyle w:val="3"/>
              <w:keepNext w:val="0"/>
              <w:keepLines w:val="0"/>
              <w:widowControl/>
              <w:suppressLineNumbers w:val="0"/>
              <w:spacing w:line="288" w:lineRule="atLeast"/>
              <w:jc w:val="left"/>
            </w:pPr>
            <w:r>
              <w:rPr>
                <w:caps w:val="0"/>
                <w:spacing w:val="0"/>
                <w:lang w:val="en-US"/>
              </w:rPr>
              <w:t>    </w:t>
            </w:r>
            <w:bookmarkStart w:id="69" w:name="_Toc403334992"/>
            <w:r>
              <w:rPr>
                <w:rFonts w:hint="eastAsia" w:ascii="宋体" w:hAnsi="宋体" w:eastAsia="宋体" w:cs="宋体"/>
                <w:caps w:val="0"/>
                <w:spacing w:val="0"/>
                <w:sz w:val="20"/>
                <w:szCs w:val="20"/>
                <w:lang w:val="en-US"/>
              </w:rPr>
              <w:t>五、荆南熙园</w:t>
            </w:r>
            <w:bookmarkEnd w:id="69"/>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掇刀区职教集团北100米；</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◇开发商：</w:t>
            </w:r>
            <w:r>
              <w:rPr>
                <w:rFonts w:hint="eastAsia" w:ascii="宋体" w:hAnsi="宋体" w:eastAsia="宋体" w:cs="宋体"/>
                <w:caps w:val="0"/>
                <w:spacing w:val="0"/>
                <w:kern w:val="0"/>
                <w:sz w:val="20"/>
                <w:szCs w:val="20"/>
                <w:lang w:val="en-US" w:eastAsia="zh-CN" w:bidi="ar"/>
              </w:rPr>
              <w:t>荆门中建三局房地产开发有限公司；</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◇形象定位：</w:t>
            </w:r>
            <w:r>
              <w:rPr>
                <w:rFonts w:hint="eastAsia" w:ascii="宋体" w:hAnsi="宋体" w:eastAsia="宋体" w:cs="宋体"/>
                <w:caps w:val="0"/>
                <w:spacing w:val="0"/>
                <w:kern w:val="0"/>
                <w:sz w:val="20"/>
                <w:szCs w:val="20"/>
                <w:lang w:val="en-US" w:eastAsia="zh-CN" w:bidi="ar"/>
              </w:rPr>
              <w:t>城区中央墅级人文家；</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◇项目规模：</w:t>
            </w:r>
            <w:r>
              <w:rPr>
                <w:rFonts w:hint="eastAsia" w:ascii="宋体" w:hAnsi="宋体" w:eastAsia="宋体" w:cs="宋体"/>
                <w:caps w:val="0"/>
                <w:spacing w:val="0"/>
                <w:kern w:val="0"/>
                <w:sz w:val="20"/>
                <w:szCs w:val="20"/>
                <w:lang w:val="en-US" w:eastAsia="zh-CN" w:bidi="ar"/>
              </w:rPr>
              <w:t>占面约9万方，建面27万方，建筑密度27.99%，绿化率30%；</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分三期开发建设，由3栋33层高层住宅、4栋18层高层住宅、12栋4+1层花园洋房、4栋别墅、1栋3层的商业楼，1栋3层的幼儿园组成。</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◇主力户型：        </w:t>
            </w:r>
            <w:r>
              <w:rPr>
                <w:rFonts w:hint="eastAsia" w:ascii="宋体" w:hAnsi="宋体" w:eastAsia="宋体" w:cs="宋体"/>
                <w:caps w:val="0"/>
                <w:spacing w:val="0"/>
                <w:kern w:val="0"/>
                <w:sz w:val="20"/>
                <w:szCs w:val="20"/>
                <w:lang w:val="en-US" w:eastAsia="zh-CN" w:bidi="ar"/>
              </w:rPr>
              <w:t>Y1   三房二厅二卫     136.06㎡（一楼）；</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（Y5#、Y6#楼洋房）   Y2   三房二厅二卫     157.48㎡；</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Y3   三房二厅二卫     134.05㎡；</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Y4   三房二厅二卫     186㎡（顶层）；</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◇项目动态：</w:t>
            </w:r>
            <w:r>
              <w:rPr>
                <w:rFonts w:hint="eastAsia" w:ascii="宋体" w:hAnsi="宋体" w:eastAsia="宋体" w:cs="宋体"/>
                <w:caps w:val="0"/>
                <w:spacing w:val="0"/>
                <w:kern w:val="0"/>
                <w:sz w:val="20"/>
                <w:szCs w:val="20"/>
                <w:lang w:val="en-US" w:eastAsia="zh-CN" w:bidi="ar"/>
              </w:rPr>
              <w:t>目前7、9楼小高及高层88-135㎡房源与Y5、Y6洋房134-186㎡房源少量在售；高层均价4200元/㎡，小高均价4300元/㎡，洋房一楼与顶楼均价6600元/㎡、中间楼层均价5200元/㎡。现购房享97折与98/99折优惠。整个项目洋房只剩一期Y1/Y2/Y3栋房源待售，约114套左右，估计明年推出。</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主打中建地产品牌，但目前项目周边配套还不完善，且昭示性不强。</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2400300" cy="1600200"/>
                  <wp:effectExtent l="0" t="0" r="7620" b="0"/>
                  <wp:docPr id="47"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1" descr="IMG_286"/>
                          <pic:cNvPicPr>
                            <a:picLocks noChangeAspect="1"/>
                          </pic:cNvPicPr>
                        </pic:nvPicPr>
                        <pic:blipFill>
                          <a:blip r:embed="rId34"/>
                          <a:stretch>
                            <a:fillRect/>
                          </a:stretch>
                        </pic:blipFill>
                        <pic:spPr>
                          <a:xfrm>
                            <a:off x="0" y="0"/>
                            <a:ext cx="2400300" cy="1600200"/>
                          </a:xfrm>
                          <a:prstGeom prst="rect">
                            <a:avLst/>
                          </a:prstGeom>
                          <a:noFill/>
                          <a:ln w="9525">
                            <a:noFill/>
                          </a:ln>
                        </pic:spPr>
                      </pic:pic>
                    </a:graphicData>
                  </a:graphic>
                </wp:inline>
              </w:drawing>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2381250" cy="1600200"/>
                  <wp:effectExtent l="0" t="0" r="11430" b="0"/>
                  <wp:docPr id="23"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2" descr="IMG_287"/>
                          <pic:cNvPicPr>
                            <a:picLocks noChangeAspect="1"/>
                          </pic:cNvPicPr>
                        </pic:nvPicPr>
                        <pic:blipFill>
                          <a:blip r:embed="rId35"/>
                          <a:stretch>
                            <a:fillRect/>
                          </a:stretch>
                        </pic:blipFill>
                        <pic:spPr>
                          <a:xfrm>
                            <a:off x="0" y="0"/>
                            <a:ext cx="2381250" cy="1600200"/>
                          </a:xfrm>
                          <a:prstGeom prst="rect">
                            <a:avLst/>
                          </a:prstGeom>
                          <a:noFill/>
                          <a:ln w="9525">
                            <a:noFill/>
                          </a:ln>
                        </pic:spPr>
                      </pic:pic>
                    </a:graphicData>
                  </a:graphic>
                </wp:inline>
              </w:drawing>
            </w:r>
          </w:p>
          <w:p>
            <w:pPr>
              <w:pStyle w:val="3"/>
              <w:keepNext w:val="0"/>
              <w:keepLines w:val="0"/>
              <w:widowControl/>
              <w:suppressLineNumbers w:val="0"/>
              <w:spacing w:line="288" w:lineRule="atLeast"/>
              <w:jc w:val="left"/>
            </w:pPr>
            <w:r>
              <w:rPr>
                <w:caps w:val="0"/>
                <w:spacing w:val="0"/>
                <w:lang w:val="en-US"/>
              </w:rPr>
              <w:t>    </w:t>
            </w:r>
            <w:bookmarkStart w:id="70" w:name="_Toc403334993"/>
            <w:r>
              <w:rPr>
                <w:rFonts w:hint="eastAsia" w:ascii="宋体" w:hAnsi="宋体" w:eastAsia="宋体" w:cs="宋体"/>
                <w:caps w:val="0"/>
                <w:spacing w:val="0"/>
                <w:sz w:val="20"/>
                <w:szCs w:val="20"/>
                <w:lang w:val="en-US"/>
              </w:rPr>
              <w:t>六、华太·紫荆豪庭</w:t>
            </w:r>
            <w:bookmarkEnd w:id="70"/>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掇刀区深圳大道与龙井大道交汇处(三恒酒店斜对面)；</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◇开 发 商：</w:t>
            </w:r>
            <w:r>
              <w:rPr>
                <w:rFonts w:hint="eastAsia" w:ascii="宋体" w:hAnsi="宋体" w:eastAsia="宋体" w:cs="宋体"/>
                <w:caps w:val="0"/>
                <w:spacing w:val="0"/>
                <w:kern w:val="0"/>
                <w:sz w:val="20"/>
                <w:szCs w:val="20"/>
                <w:lang w:val="en-US" w:eastAsia="zh-CN" w:bidi="ar"/>
              </w:rPr>
              <w:t>荆门紫荆城置业有限公司；</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◇形象定位：</w:t>
            </w:r>
            <w:r>
              <w:rPr>
                <w:rFonts w:hint="eastAsia" w:ascii="宋体" w:hAnsi="宋体" w:eastAsia="宋体" w:cs="宋体"/>
                <w:caps w:val="0"/>
                <w:spacing w:val="0"/>
                <w:kern w:val="0"/>
                <w:sz w:val="20"/>
                <w:szCs w:val="20"/>
                <w:lang w:val="en-US" w:eastAsia="zh-CN" w:bidi="ar"/>
              </w:rPr>
              <w:t>城市精英·现代人居；</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◇项目规模：</w:t>
            </w:r>
            <w:r>
              <w:rPr>
                <w:rFonts w:hint="eastAsia" w:ascii="宋体" w:hAnsi="宋体" w:eastAsia="宋体" w:cs="宋体"/>
                <w:caps w:val="0"/>
                <w:spacing w:val="0"/>
                <w:kern w:val="0"/>
                <w:sz w:val="20"/>
                <w:szCs w:val="20"/>
                <w:lang w:val="en-US" w:eastAsia="zh-CN" w:bidi="ar"/>
              </w:rPr>
              <w:t>总占地面积6万余方，总建筑面积17.5万方，小区绿化率达33.6%，由7栋高层及商业组成，建成后可容纳1081户。</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项目分三期开发，一期为1、4#楼，二期为2、5、6#楼，三期为3、7#楼。项目将打造近1.7万方商业广场，提供配套增值服务包括儿童游乐场、老年人活动中心等。</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◇项目风格：</w:t>
            </w:r>
            <w:r>
              <w:rPr>
                <w:rFonts w:hint="eastAsia" w:ascii="宋体" w:hAnsi="宋体" w:eastAsia="宋体" w:cs="宋体"/>
                <w:caps w:val="0"/>
                <w:spacing w:val="0"/>
                <w:kern w:val="0"/>
                <w:sz w:val="20"/>
                <w:szCs w:val="20"/>
                <w:lang w:val="en-US" w:eastAsia="zh-CN" w:bidi="ar"/>
              </w:rPr>
              <w:t>现代简约风格</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◇主力户型： </w:t>
            </w:r>
            <w:r>
              <w:rPr>
                <w:rFonts w:hint="eastAsia" w:ascii="宋体" w:hAnsi="宋体" w:eastAsia="宋体" w:cs="宋体"/>
                <w:caps w:val="0"/>
                <w:spacing w:val="0"/>
                <w:kern w:val="0"/>
                <w:sz w:val="20"/>
                <w:szCs w:val="20"/>
                <w:lang w:val="en-US" w:eastAsia="zh-CN" w:bidi="ar"/>
              </w:rPr>
              <w:t>A1户型   4×2×1   137㎡   B1户型   3×2×1   117㎡</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C1户型   2×2×1   91㎡</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◇项目动态：</w:t>
            </w:r>
            <w:r>
              <w:rPr>
                <w:rFonts w:hint="eastAsia" w:ascii="宋体" w:hAnsi="宋体" w:eastAsia="宋体" w:cs="宋体"/>
                <w:caps w:val="0"/>
                <w:spacing w:val="0"/>
                <w:kern w:val="0"/>
                <w:sz w:val="20"/>
                <w:szCs w:val="20"/>
                <w:lang w:val="en-US" w:eastAsia="zh-CN" w:bidi="ar"/>
              </w:rPr>
              <w:t>一期1、4#楼与二期2、5#楼少量房源在售，现在推出荆门紫荆城置业享购房94折优惠。6#楼估计将在年底推出，三期楼栋预计会于明年面市。</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位于掇刀转盘附近，区域配套成熟，居住氛围较为浓厚；为掇刀中心地段，资源均好性强；其临近主马路，项目昭示性较好。</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3286125" cy="2133600"/>
                  <wp:effectExtent l="0" t="0" r="5715" b="0"/>
                  <wp:docPr id="40"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3" descr="IMG_288"/>
                          <pic:cNvPicPr>
                            <a:picLocks noChangeAspect="1"/>
                          </pic:cNvPicPr>
                        </pic:nvPicPr>
                        <pic:blipFill>
                          <a:blip r:embed="rId36"/>
                          <a:stretch>
                            <a:fillRect/>
                          </a:stretch>
                        </pic:blipFill>
                        <pic:spPr>
                          <a:xfrm>
                            <a:off x="0" y="0"/>
                            <a:ext cx="3286125" cy="2133600"/>
                          </a:xfrm>
                          <a:prstGeom prst="rect">
                            <a:avLst/>
                          </a:prstGeom>
                          <a:noFill/>
                          <a:ln w="9525">
                            <a:noFill/>
                          </a:ln>
                        </pic:spPr>
                      </pic:pic>
                    </a:graphicData>
                  </a:graphic>
                </wp:inline>
              </w:drawing>
            </w: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1581150" cy="2133600"/>
                  <wp:effectExtent l="0" t="0" r="3810" b="0"/>
                  <wp:docPr id="18"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4" descr="IMG_289"/>
                          <pic:cNvPicPr>
                            <a:picLocks noChangeAspect="1"/>
                          </pic:cNvPicPr>
                        </pic:nvPicPr>
                        <pic:blipFill>
                          <a:blip r:embed="rId37"/>
                          <a:stretch>
                            <a:fillRect/>
                          </a:stretch>
                        </pic:blipFill>
                        <pic:spPr>
                          <a:xfrm>
                            <a:off x="0" y="0"/>
                            <a:ext cx="1581150" cy="2133600"/>
                          </a:xfrm>
                          <a:prstGeom prst="rect">
                            <a:avLst/>
                          </a:prstGeom>
                          <a:noFill/>
                          <a:ln w="9525">
                            <a:noFill/>
                          </a:ln>
                        </pic:spPr>
                      </pic:pic>
                    </a:graphicData>
                  </a:graphic>
                </wp:inline>
              </w:drawing>
            </w:r>
          </w:p>
          <w:p>
            <w:pPr>
              <w:pStyle w:val="3"/>
              <w:keepNext w:val="0"/>
              <w:keepLines w:val="0"/>
              <w:widowControl/>
              <w:suppressLineNumbers w:val="0"/>
              <w:spacing w:line="288" w:lineRule="atLeast"/>
              <w:jc w:val="left"/>
            </w:pPr>
            <w:r>
              <w:rPr>
                <w:caps w:val="0"/>
                <w:spacing w:val="0"/>
                <w:lang w:val="en-US"/>
              </w:rPr>
              <w:t>    </w:t>
            </w:r>
            <w:bookmarkStart w:id="71" w:name="_Toc403334994"/>
            <w:r>
              <w:rPr>
                <w:rFonts w:hint="eastAsia" w:ascii="宋体" w:hAnsi="宋体" w:eastAsia="宋体" w:cs="宋体"/>
                <w:caps w:val="0"/>
                <w:spacing w:val="0"/>
                <w:sz w:val="20"/>
                <w:szCs w:val="20"/>
                <w:lang w:val="en-US"/>
              </w:rPr>
              <w:t>七、凯旋城</w:t>
            </w:r>
            <w:bookmarkEnd w:id="71"/>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荆门市深圳大道与龙井大道交汇处；</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◇开 发 商：</w:t>
            </w:r>
            <w:r>
              <w:rPr>
                <w:rFonts w:hint="eastAsia" w:ascii="宋体" w:hAnsi="宋体" w:eastAsia="宋体" w:cs="宋体"/>
                <w:caps w:val="0"/>
                <w:spacing w:val="0"/>
                <w:kern w:val="0"/>
                <w:sz w:val="20"/>
                <w:szCs w:val="20"/>
                <w:lang w:val="en-US" w:eastAsia="zh-CN" w:bidi="ar"/>
              </w:rPr>
              <w:t>荆门市佳信置业有限责任公司；</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◇形象定位：</w:t>
            </w:r>
            <w:r>
              <w:rPr>
                <w:rFonts w:hint="eastAsia" w:ascii="宋体" w:hAnsi="宋体" w:eastAsia="宋体" w:cs="宋体"/>
                <w:caps w:val="0"/>
                <w:spacing w:val="0"/>
                <w:kern w:val="0"/>
                <w:sz w:val="20"/>
                <w:szCs w:val="20"/>
                <w:lang w:val="en-US" w:eastAsia="zh-CN" w:bidi="ar"/>
              </w:rPr>
              <w:t>荆门之门·一生之城；</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◇项目规模：</w:t>
            </w:r>
            <w:r>
              <w:rPr>
                <w:rFonts w:hint="eastAsia" w:ascii="宋体" w:hAnsi="宋体" w:eastAsia="宋体" w:cs="宋体"/>
                <w:caps w:val="0"/>
                <w:spacing w:val="0"/>
                <w:kern w:val="0"/>
                <w:sz w:val="20"/>
                <w:szCs w:val="20"/>
                <w:lang w:val="en-US" w:eastAsia="zh-CN" w:bidi="ar"/>
              </w:rPr>
              <w:t>总占面28万方，总建面88万方，容积率2.5，绿化率36%，共有4833户，车位比超1:1。</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项目分四期建设，一期主要为洋房与小高层，二期主要为别墅与小高层，三、四期主要是高层。其中规划有6.5万方欧洲商业风情街、2.5万方高标准幼儿园及水岸主题园林。</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◇建筑风格：</w:t>
            </w:r>
            <w:r>
              <w:rPr>
                <w:rFonts w:hint="eastAsia" w:ascii="宋体" w:hAnsi="宋体" w:eastAsia="宋体" w:cs="宋体"/>
                <w:caps w:val="0"/>
                <w:spacing w:val="0"/>
                <w:kern w:val="0"/>
                <w:sz w:val="20"/>
                <w:szCs w:val="20"/>
                <w:lang w:val="en-US" w:eastAsia="zh-CN" w:bidi="ar"/>
              </w:rPr>
              <w:t>纯法式建筑风格；</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◇项目动态：</w:t>
            </w:r>
            <w:r>
              <w:rPr>
                <w:rFonts w:hint="eastAsia" w:ascii="宋体" w:hAnsi="宋体" w:eastAsia="宋体" w:cs="宋体"/>
                <w:caps w:val="0"/>
                <w:spacing w:val="0"/>
                <w:kern w:val="0"/>
                <w:sz w:val="20"/>
                <w:szCs w:val="20"/>
                <w:lang w:val="en-US" w:eastAsia="zh-CN" w:bidi="ar"/>
              </w:rPr>
              <w:t>一期洋房销售已接近尾声，现房116㎡一口价43万起且享98折优惠，全款再享99折；目前主要推售二期的高层产品，认筹5000元享开盘98折优惠。洋房均价4600元/㎡，小高层4000元/㎡。</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法式风情社区；拥国际双语幼儿园，社区私人高端网球场，缔造高端社区生活；享自持物业，保障优质的服务，全方位管家式服务。但交通不便利，出行不够方便；项目周边生活氛围不浓厚，生活不够便利。</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2981325" cy="1733550"/>
                  <wp:effectExtent l="0" t="0" r="5715" b="3810"/>
                  <wp:docPr id="31"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5" descr="IMG_290"/>
                          <pic:cNvPicPr>
                            <a:picLocks noChangeAspect="1"/>
                          </pic:cNvPicPr>
                        </pic:nvPicPr>
                        <pic:blipFill>
                          <a:blip r:embed="rId38"/>
                          <a:stretch>
                            <a:fillRect/>
                          </a:stretch>
                        </pic:blipFill>
                        <pic:spPr>
                          <a:xfrm>
                            <a:off x="0" y="0"/>
                            <a:ext cx="2981325" cy="1733550"/>
                          </a:xfrm>
                          <a:prstGeom prst="rect">
                            <a:avLst/>
                          </a:prstGeom>
                          <a:noFill/>
                          <a:ln w="9525">
                            <a:noFill/>
                          </a:ln>
                        </pic:spPr>
                      </pic:pic>
                    </a:graphicData>
                  </a:graphic>
                </wp:inline>
              </w:drawing>
            </w:r>
            <w:r>
              <w:rPr>
                <w:rFonts w:hint="eastAsia" w:ascii="宋体" w:hAnsi="宋体" w:eastAsia="宋体" w:cs="宋体"/>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drawing>
                <wp:inline distT="0" distB="0" distL="114300" distR="114300">
                  <wp:extent cx="2390775" cy="1733550"/>
                  <wp:effectExtent l="0" t="0" r="1905" b="3810"/>
                  <wp:docPr id="38"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descr="IMG_291"/>
                          <pic:cNvPicPr>
                            <a:picLocks noChangeAspect="1"/>
                          </pic:cNvPicPr>
                        </pic:nvPicPr>
                        <pic:blipFill>
                          <a:blip r:embed="rId39"/>
                          <a:stretch>
                            <a:fillRect/>
                          </a:stretch>
                        </pic:blipFill>
                        <pic:spPr>
                          <a:xfrm>
                            <a:off x="0" y="0"/>
                            <a:ext cx="2390775" cy="1733550"/>
                          </a:xfrm>
                          <a:prstGeom prst="rect">
                            <a:avLst/>
                          </a:prstGeom>
                          <a:noFill/>
                          <a:ln w="9525">
                            <a:noFill/>
                          </a:ln>
                        </pic:spPr>
                      </pic:pic>
                    </a:graphicData>
                  </a:graphic>
                </wp:inline>
              </w:drawing>
            </w:r>
          </w:p>
          <w:p>
            <w:pPr>
              <w:pStyle w:val="3"/>
              <w:keepNext w:val="0"/>
              <w:keepLines w:val="0"/>
              <w:widowControl/>
              <w:suppressLineNumbers w:val="0"/>
              <w:spacing w:line="288" w:lineRule="atLeast"/>
              <w:jc w:val="left"/>
            </w:pPr>
            <w:r>
              <w:rPr>
                <w:caps w:val="0"/>
                <w:spacing w:val="0"/>
                <w:lang w:val="en-US"/>
              </w:rPr>
              <w:t>   </w:t>
            </w:r>
            <w:bookmarkStart w:id="72" w:name="_Toc403334995"/>
            <w:r>
              <w:rPr>
                <w:rFonts w:hint="eastAsia" w:ascii="宋体" w:hAnsi="宋体" w:eastAsia="宋体" w:cs="宋体"/>
                <w:caps w:val="0"/>
                <w:spacing w:val="0"/>
                <w:sz w:val="20"/>
                <w:szCs w:val="20"/>
                <w:lang w:val="en-US"/>
              </w:rPr>
              <w:t>八、长龙·中央公园3期</w:t>
            </w:r>
            <w:bookmarkEnd w:id="72"/>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◇地理位置：</w:t>
            </w:r>
            <w:r>
              <w:rPr>
                <w:rFonts w:hint="eastAsia" w:ascii="宋体" w:hAnsi="宋体" w:eastAsia="宋体" w:cs="宋体"/>
                <w:caps w:val="0"/>
                <w:spacing w:val="0"/>
                <w:kern w:val="0"/>
                <w:sz w:val="20"/>
                <w:szCs w:val="20"/>
                <w:lang w:val="en-US" w:eastAsia="zh-CN" w:bidi="ar"/>
              </w:rPr>
              <w:t>掇刀区荆门市虎牙关大道2号(山水龙城东侧)；</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◇开 发 商：</w:t>
            </w:r>
            <w:r>
              <w:rPr>
                <w:rFonts w:hint="eastAsia" w:ascii="宋体" w:hAnsi="宋体" w:eastAsia="宋体" w:cs="宋体"/>
                <w:caps w:val="0"/>
                <w:spacing w:val="0"/>
                <w:kern w:val="0"/>
                <w:sz w:val="20"/>
                <w:szCs w:val="20"/>
                <w:lang w:val="en-US" w:eastAsia="zh-CN" w:bidi="ar"/>
              </w:rPr>
              <w:t>湖北长龙地产有限公司；</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◇形象定位：</w:t>
            </w:r>
            <w:r>
              <w:rPr>
                <w:rFonts w:hint="eastAsia" w:ascii="宋体" w:hAnsi="宋体" w:eastAsia="宋体" w:cs="宋体"/>
                <w:caps w:val="0"/>
                <w:spacing w:val="0"/>
                <w:kern w:val="0"/>
                <w:sz w:val="20"/>
                <w:szCs w:val="20"/>
                <w:lang w:val="en-US" w:eastAsia="zh-CN" w:bidi="ar"/>
              </w:rPr>
              <w:t>城中央纯熟大公园社区·可持续生活蓝本；</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◇项目规模：</w:t>
            </w:r>
            <w:r>
              <w:rPr>
                <w:rFonts w:hint="eastAsia" w:ascii="宋体" w:hAnsi="宋体" w:eastAsia="宋体" w:cs="宋体"/>
                <w:caps w:val="0"/>
                <w:spacing w:val="0"/>
                <w:kern w:val="0"/>
                <w:sz w:val="20"/>
                <w:szCs w:val="20"/>
                <w:lang w:val="en-US" w:eastAsia="zh-CN" w:bidi="ar"/>
              </w:rPr>
              <w:t>总占面10万方，总建面22万方，容积率2.0，绿化率30.1%，建筑密度25.6%。</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◇规划要点：</w:t>
            </w:r>
            <w:r>
              <w:rPr>
                <w:rFonts w:hint="eastAsia" w:ascii="宋体" w:hAnsi="宋体" w:eastAsia="宋体" w:cs="宋体"/>
                <w:caps w:val="0"/>
                <w:spacing w:val="0"/>
                <w:kern w:val="0"/>
                <w:sz w:val="20"/>
                <w:szCs w:val="20"/>
                <w:lang w:val="en-US" w:eastAsia="zh-CN" w:bidi="ar"/>
              </w:rPr>
              <w:t>项目分四期开发，由梅、兰、竹、菊四个组团共38栋多层、小高、花园洋房、别墅组成。三期为7栋高层住宅。</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◇建筑风格：</w:t>
            </w:r>
            <w:r>
              <w:rPr>
                <w:rFonts w:hint="eastAsia" w:ascii="宋体" w:hAnsi="宋体" w:eastAsia="宋体" w:cs="宋体"/>
                <w:caps w:val="0"/>
                <w:spacing w:val="0"/>
                <w:kern w:val="0"/>
                <w:sz w:val="20"/>
                <w:szCs w:val="20"/>
                <w:lang w:val="en-US" w:eastAsia="zh-CN" w:bidi="ar"/>
              </w:rPr>
              <w:t>现代简约风格；</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◇户型面积： </w:t>
            </w:r>
            <w:r>
              <w:rPr>
                <w:rFonts w:hint="eastAsia" w:ascii="宋体" w:hAnsi="宋体" w:eastAsia="宋体" w:cs="宋体"/>
                <w:caps w:val="0"/>
                <w:spacing w:val="0"/>
                <w:kern w:val="0"/>
                <w:sz w:val="20"/>
                <w:szCs w:val="20"/>
                <w:lang w:val="en-US" w:eastAsia="zh-CN" w:bidi="ar"/>
              </w:rPr>
              <w:t>（三期58-117㎡房源）</w:t>
            </w: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caps w:val="0"/>
                <w:spacing w:val="0"/>
                <w:kern w:val="0"/>
                <w:sz w:val="20"/>
                <w:szCs w:val="20"/>
                <w:lang w:val="en-US" w:eastAsia="zh-CN" w:bidi="ar"/>
              </w:rPr>
              <w:t>A4    3×2×1   96.86-98.96㎡;</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A1  1×2×1  58㎡;A3  2×2×1  88.40-94.79㎡;</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D1  3×2×2  110.63-113.09㎡;D2  3×2×2  117.38㎡;</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◇项目动态：</w:t>
            </w:r>
            <w:r>
              <w:rPr>
                <w:rFonts w:hint="eastAsia" w:ascii="宋体" w:hAnsi="宋体" w:eastAsia="宋体" w:cs="宋体"/>
                <w:caps w:val="0"/>
                <w:spacing w:val="0"/>
                <w:kern w:val="0"/>
                <w:sz w:val="20"/>
                <w:szCs w:val="20"/>
                <w:lang w:val="en-US" w:eastAsia="zh-CN" w:bidi="ar"/>
              </w:rPr>
              <w:t>目前主要销售的为三期2、5#楼高层。其于10月18日开始认筹，交6000元抵2万元房款，预计11月份开盘。其价格估计为4100元/㎡左右。</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◇项目点评：</w:t>
            </w:r>
            <w:r>
              <w:rPr>
                <w:rFonts w:hint="eastAsia" w:ascii="宋体" w:hAnsi="宋体" w:eastAsia="宋体" w:cs="宋体"/>
                <w:caps w:val="0"/>
                <w:spacing w:val="0"/>
                <w:kern w:val="0"/>
                <w:sz w:val="20"/>
                <w:szCs w:val="20"/>
                <w:lang w:val="en-US" w:eastAsia="zh-CN" w:bidi="ar"/>
              </w:rPr>
              <w:t>经过一、二期的经营，其已成为比较成熟的社区；地理位置上处于新城与老城的中间地带，资源均好性强。但是小区旁边即为看管所，比较影响小区的形象。</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2305050" cy="1466850"/>
                  <wp:effectExtent l="0" t="0" r="11430" b="11430"/>
                  <wp:docPr id="25"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7" descr="IMG_292"/>
                          <pic:cNvPicPr>
                            <a:picLocks noChangeAspect="1"/>
                          </pic:cNvPicPr>
                        </pic:nvPicPr>
                        <pic:blipFill>
                          <a:blip r:embed="rId40"/>
                          <a:stretch>
                            <a:fillRect/>
                          </a:stretch>
                        </pic:blipFill>
                        <pic:spPr>
                          <a:xfrm>
                            <a:off x="0" y="0"/>
                            <a:ext cx="2305050" cy="1466850"/>
                          </a:xfrm>
                          <a:prstGeom prst="rect">
                            <a:avLst/>
                          </a:prstGeom>
                          <a:noFill/>
                          <a:ln w="9525">
                            <a:noFill/>
                          </a:ln>
                        </pic:spPr>
                      </pic:pic>
                    </a:graphicData>
                  </a:graphic>
                </wp:inline>
              </w:drawing>
            </w: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2324100" cy="1466850"/>
                  <wp:effectExtent l="0" t="0" r="7620" b="11430"/>
                  <wp:docPr id="28"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8" descr="IMG_293"/>
                          <pic:cNvPicPr>
                            <a:picLocks noChangeAspect="1"/>
                          </pic:cNvPicPr>
                        </pic:nvPicPr>
                        <pic:blipFill>
                          <a:blip r:embed="rId41"/>
                          <a:stretch>
                            <a:fillRect/>
                          </a:stretch>
                        </pic:blipFill>
                        <pic:spPr>
                          <a:xfrm>
                            <a:off x="0" y="0"/>
                            <a:ext cx="2324100" cy="1466850"/>
                          </a:xfrm>
                          <a:prstGeom prst="rect">
                            <a:avLst/>
                          </a:prstGeom>
                          <a:noFill/>
                          <a:ln w="9525">
                            <a:noFill/>
                          </a:ln>
                        </pic:spPr>
                      </pic:pic>
                    </a:graphicData>
                  </a:graphic>
                </wp:inline>
              </w:drawing>
            </w:r>
          </w:p>
          <w:p>
            <w:pPr>
              <w:pStyle w:val="2"/>
              <w:keepNext w:val="0"/>
              <w:keepLines w:val="0"/>
              <w:widowControl/>
              <w:suppressLineNumbers w:val="0"/>
              <w:spacing w:line="288" w:lineRule="atLeast"/>
              <w:jc w:val="center"/>
            </w:pPr>
            <w:bookmarkStart w:id="73" w:name="_Toc403334996"/>
            <w:r>
              <w:rPr>
                <w:rFonts w:hint="eastAsia" w:ascii="宋体" w:hAnsi="宋体" w:eastAsia="宋体" w:cs="宋体"/>
                <w:caps w:val="0"/>
                <w:spacing w:val="0"/>
                <w:sz w:val="27"/>
                <w:szCs w:val="27"/>
                <w:lang w:val="en-US"/>
              </w:rPr>
              <w:t>第五部分   </w:t>
            </w:r>
            <w:bookmarkEnd w:id="73"/>
            <w:r>
              <w:rPr>
                <w:rFonts w:hint="eastAsia" w:ascii="宋体" w:hAnsi="宋体" w:eastAsia="宋体" w:cs="宋体"/>
                <w:caps w:val="0"/>
                <w:spacing w:val="0"/>
                <w:sz w:val="27"/>
                <w:szCs w:val="27"/>
                <w:lang w:val="en-US"/>
              </w:rPr>
              <w:t>媒体监测</w:t>
            </w:r>
          </w:p>
          <w:p>
            <w:pPr>
              <w:pStyle w:val="3"/>
              <w:keepNext w:val="0"/>
              <w:keepLines w:val="0"/>
              <w:widowControl/>
              <w:suppressLineNumbers w:val="0"/>
              <w:spacing w:line="288" w:lineRule="atLeast"/>
              <w:jc w:val="left"/>
            </w:pPr>
            <w:bookmarkStart w:id="74" w:name="_Toc403334997"/>
            <w:bookmarkEnd w:id="74"/>
            <w:bookmarkStart w:id="75" w:name="_Toc374521673"/>
            <w:bookmarkEnd w:id="75"/>
            <w:bookmarkStart w:id="76" w:name="_Toc366243093"/>
            <w:bookmarkEnd w:id="76"/>
            <w:bookmarkStart w:id="77" w:name="_Toc353178142"/>
            <w:bookmarkEnd w:id="77"/>
            <w:bookmarkStart w:id="78" w:name="_Toc347757555"/>
            <w:bookmarkEnd w:id="78"/>
            <w:r>
              <w:rPr>
                <w:caps w:val="0"/>
                <w:spacing w:val="0"/>
                <w:lang w:val="en-US"/>
              </w:rPr>
              <w:t>   </w:t>
            </w:r>
            <w:bookmarkStart w:id="79" w:name="_Toc345167239"/>
            <w:r>
              <w:rPr>
                <w:rFonts w:hint="eastAsia" w:ascii="宋体" w:hAnsi="宋体" w:eastAsia="宋体" w:cs="宋体"/>
                <w:caps w:val="0"/>
                <w:spacing w:val="0"/>
                <w:sz w:val="20"/>
                <w:szCs w:val="20"/>
                <w:lang w:val="en-US"/>
              </w:rPr>
              <w:t>一、</w:t>
            </w:r>
            <w:bookmarkEnd w:id="79"/>
            <w:r>
              <w:rPr>
                <w:rFonts w:hint="eastAsia" w:ascii="宋体" w:hAnsi="宋体" w:eastAsia="宋体" w:cs="宋体"/>
                <w:caps w:val="0"/>
                <w:spacing w:val="0"/>
                <w:sz w:val="20"/>
                <w:szCs w:val="20"/>
                <w:lang w:val="en-US"/>
              </w:rPr>
              <w:t>项目投放量</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1、各楼盘纸媒投放量</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w:t>
            </w:r>
            <w:r>
              <w:rPr>
                <w:rFonts w:hint="eastAsia" w:ascii="宋体" w:hAnsi="宋体" w:eastAsia="宋体" w:cs="宋体"/>
                <w:b/>
                <w:caps w:val="0"/>
                <w:spacing w:val="0"/>
                <w:kern w:val="0"/>
                <w:sz w:val="20"/>
                <w:szCs w:val="20"/>
                <w:lang w:val="en-US" w:eastAsia="zh-CN" w:bidi="ar"/>
              </w:rPr>
              <w:drawing>
                <wp:inline distT="0" distB="0" distL="114300" distR="114300">
                  <wp:extent cx="4533900" cy="2495550"/>
                  <wp:effectExtent l="0" t="0" r="7620" b="3810"/>
                  <wp:docPr id="17"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9" descr="IMG_294"/>
                          <pic:cNvPicPr>
                            <a:picLocks noChangeAspect="1"/>
                          </pic:cNvPicPr>
                        </pic:nvPicPr>
                        <pic:blipFill>
                          <a:blip r:embed="rId42"/>
                          <a:stretch>
                            <a:fillRect/>
                          </a:stretch>
                        </pic:blipFill>
                        <pic:spPr>
                          <a:xfrm>
                            <a:off x="0" y="0"/>
                            <a:ext cx="4533900" cy="2495550"/>
                          </a:xfrm>
                          <a:prstGeom prst="rect">
                            <a:avLst/>
                          </a:prstGeom>
                          <a:noFill/>
                          <a:ln w="9525">
                            <a:noFill/>
                          </a:ln>
                        </pic:spPr>
                      </pic:pic>
                    </a:graphicData>
                  </a:graphic>
                </wp:inline>
              </w:drawing>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0"/>
                <w:szCs w:val="20"/>
                <w:lang w:val="en-US" w:eastAsia="zh-CN" w:bidi="ar"/>
              </w:rPr>
              <w:t>本月截止到31日，共有25个地产项目投放报纸广告，共计64篇。本月广告投放量较大的主要有碧波春城、凤凰城、洋丰嘉园、锦绣紫荆城、华铭广场、长龙中央公园3期等楼盘。</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2、投放量前六详情</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Style w:val="7"/>
                <w:rFonts w:hint="eastAsia" w:ascii="宋体" w:hAnsi="宋体" w:eastAsia="宋体" w:cs="宋体"/>
                <w:caps w:val="0"/>
                <w:spacing w:val="0"/>
                <w:kern w:val="0"/>
                <w:sz w:val="20"/>
                <w:szCs w:val="20"/>
                <w:lang w:val="en-US" w:eastAsia="zh-CN" w:bidi="ar"/>
              </w:rPr>
              <w:t>      TOP 1、2、3：碧波春城、凤凰城、洋丰嘉园</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Style w:val="7"/>
                <w:rFonts w:hint="eastAsia" w:ascii="宋体" w:hAnsi="宋体" w:eastAsia="宋体" w:cs="宋体"/>
                <w:caps w:val="0"/>
                <w:spacing w:val="0"/>
                <w:kern w:val="0"/>
                <w:sz w:val="24"/>
                <w:szCs w:val="24"/>
                <w:lang w:val="en-US" w:eastAsia="zh-CN" w:bidi="ar"/>
              </w:rPr>
              <w:t>             </w:t>
            </w:r>
            <w:r>
              <w:rPr>
                <w:rStyle w:val="7"/>
                <w:rFonts w:hint="eastAsia" w:ascii="宋体" w:hAnsi="宋体" w:eastAsia="宋体" w:cs="宋体"/>
                <w:caps w:val="0"/>
                <w:spacing w:val="0"/>
                <w:kern w:val="0"/>
                <w:sz w:val="24"/>
                <w:szCs w:val="24"/>
                <w:lang w:val="en-US" w:eastAsia="zh-CN" w:bidi="ar"/>
              </w:rPr>
              <w:drawing>
                <wp:inline distT="0" distB="0" distL="114300" distR="114300">
                  <wp:extent cx="1238250" cy="1733550"/>
                  <wp:effectExtent l="0" t="0" r="11430" b="3810"/>
                  <wp:docPr id="16"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0" descr="IMG_295"/>
                          <pic:cNvPicPr>
                            <a:picLocks noChangeAspect="1"/>
                          </pic:cNvPicPr>
                        </pic:nvPicPr>
                        <pic:blipFill>
                          <a:blip r:embed="rId43"/>
                          <a:stretch>
                            <a:fillRect/>
                          </a:stretch>
                        </pic:blipFill>
                        <pic:spPr>
                          <a:xfrm>
                            <a:off x="0" y="0"/>
                            <a:ext cx="1238250" cy="1733550"/>
                          </a:xfrm>
                          <a:prstGeom prst="rect">
                            <a:avLst/>
                          </a:prstGeom>
                          <a:noFill/>
                          <a:ln w="9525">
                            <a:noFill/>
                          </a:ln>
                        </pic:spPr>
                      </pic:pic>
                    </a:graphicData>
                  </a:graphic>
                </wp:inline>
              </w:drawing>
            </w:r>
            <w:r>
              <w:rPr>
                <w:rStyle w:val="7"/>
                <w:rFonts w:hint="eastAsia" w:ascii="宋体" w:hAnsi="宋体" w:eastAsia="宋体" w:cs="宋体"/>
                <w:caps w:val="0"/>
                <w:spacing w:val="0"/>
                <w:kern w:val="0"/>
                <w:sz w:val="24"/>
                <w:szCs w:val="24"/>
                <w:lang w:val="en-US" w:eastAsia="zh-CN" w:bidi="ar"/>
              </w:rPr>
              <w:t>  </w:t>
            </w:r>
            <w:r>
              <w:rPr>
                <w:rStyle w:val="7"/>
                <w:rFonts w:hint="eastAsia" w:ascii="宋体" w:hAnsi="宋体" w:eastAsia="宋体" w:cs="宋体"/>
                <w:caps w:val="0"/>
                <w:spacing w:val="0"/>
                <w:kern w:val="0"/>
                <w:sz w:val="24"/>
                <w:szCs w:val="24"/>
                <w:lang w:val="en-US" w:eastAsia="zh-CN" w:bidi="ar"/>
              </w:rPr>
              <w:drawing>
                <wp:inline distT="0" distB="0" distL="114300" distR="114300">
                  <wp:extent cx="2066925" cy="1733550"/>
                  <wp:effectExtent l="0" t="0" r="5715" b="3810"/>
                  <wp:docPr id="41"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96"/>
                          <pic:cNvPicPr>
                            <a:picLocks noChangeAspect="1"/>
                          </pic:cNvPicPr>
                        </pic:nvPicPr>
                        <pic:blipFill>
                          <a:blip r:embed="rId44"/>
                          <a:stretch>
                            <a:fillRect/>
                          </a:stretch>
                        </pic:blipFill>
                        <pic:spPr>
                          <a:xfrm>
                            <a:off x="0" y="0"/>
                            <a:ext cx="2066925" cy="1733550"/>
                          </a:xfrm>
                          <a:prstGeom prst="rect">
                            <a:avLst/>
                          </a:prstGeom>
                          <a:noFill/>
                          <a:ln w="9525">
                            <a:noFill/>
                          </a:ln>
                        </pic:spPr>
                      </pic:pic>
                    </a:graphicData>
                  </a:graphic>
                </wp:inline>
              </w:drawing>
            </w:r>
            <w:r>
              <w:rPr>
                <w:rStyle w:val="7"/>
                <w:rFonts w:hint="eastAsia" w:ascii="宋体" w:hAnsi="宋体" w:eastAsia="宋体" w:cs="宋体"/>
                <w:caps w:val="0"/>
                <w:spacing w:val="0"/>
                <w:kern w:val="0"/>
                <w:sz w:val="24"/>
                <w:szCs w:val="24"/>
                <w:lang w:val="en-US" w:eastAsia="zh-CN" w:bidi="ar"/>
              </w:rPr>
              <w:t>   </w:t>
            </w:r>
            <w:r>
              <w:rPr>
                <w:rStyle w:val="7"/>
                <w:rFonts w:hint="eastAsia" w:ascii="宋体" w:hAnsi="宋体" w:eastAsia="宋体" w:cs="宋体"/>
                <w:caps w:val="0"/>
                <w:spacing w:val="0"/>
                <w:kern w:val="0"/>
                <w:sz w:val="24"/>
                <w:szCs w:val="24"/>
                <w:lang w:val="en-US" w:eastAsia="zh-CN" w:bidi="ar"/>
              </w:rPr>
              <w:drawing>
                <wp:inline distT="0" distB="0" distL="114300" distR="114300">
                  <wp:extent cx="1019175" cy="1733550"/>
                  <wp:effectExtent l="0" t="0" r="1905" b="3810"/>
                  <wp:docPr id="42"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97"/>
                          <pic:cNvPicPr>
                            <a:picLocks noChangeAspect="1"/>
                          </pic:cNvPicPr>
                        </pic:nvPicPr>
                        <pic:blipFill>
                          <a:blip r:embed="rId45"/>
                          <a:stretch>
                            <a:fillRect/>
                          </a:stretch>
                        </pic:blipFill>
                        <pic:spPr>
                          <a:xfrm>
                            <a:off x="0" y="0"/>
                            <a:ext cx="1019175" cy="1733550"/>
                          </a:xfrm>
                          <a:prstGeom prst="rect">
                            <a:avLst/>
                          </a:prstGeom>
                          <a:noFill/>
                          <a:ln w="9525">
                            <a:noFill/>
                          </a:ln>
                        </pic:spPr>
                      </pic:pic>
                    </a:graphicData>
                  </a:graphic>
                </wp:inline>
              </w:drawing>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本月碧波春城共投放报广7篇，大部分为80-130㎡样板间开放信息；凤凰城共投放报广6篇，主要为低首付送优惠的广告；洋丰嘉园共投放报广4篇，主要讲低起价价格优惠。</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Style w:val="7"/>
                <w:rFonts w:hint="eastAsia" w:ascii="宋体" w:hAnsi="宋体" w:eastAsia="宋体" w:cs="宋体"/>
                <w:caps w:val="0"/>
                <w:spacing w:val="0"/>
                <w:kern w:val="0"/>
                <w:sz w:val="20"/>
                <w:szCs w:val="20"/>
                <w:lang w:val="en-US" w:eastAsia="zh-CN" w:bidi="ar"/>
              </w:rPr>
              <w:t>    TOP 4、5、6：锦绣紫荆城、华铭广场、长龙中央公园3期</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4"/>
                <w:szCs w:val="24"/>
                <w:lang w:val="en-US" w:eastAsia="zh-CN" w:bidi="ar"/>
              </w:rPr>
              <w:t>           </w:t>
            </w:r>
            <w:r>
              <w:rPr>
                <w:rFonts w:hint="eastAsia" w:ascii="宋体" w:hAnsi="宋体" w:eastAsia="宋体" w:cs="宋体"/>
                <w:caps w:val="0"/>
                <w:spacing w:val="0"/>
                <w:kern w:val="0"/>
                <w:sz w:val="24"/>
                <w:szCs w:val="24"/>
                <w:lang w:val="en-US" w:eastAsia="zh-CN" w:bidi="ar"/>
              </w:rPr>
              <w:drawing>
                <wp:inline distT="0" distB="0" distL="114300" distR="114300">
                  <wp:extent cx="1543050" cy="2667000"/>
                  <wp:effectExtent l="0" t="0" r="11430" b="0"/>
                  <wp:docPr id="43"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98"/>
                          <pic:cNvPicPr>
                            <a:picLocks noChangeAspect="1"/>
                          </pic:cNvPicPr>
                        </pic:nvPicPr>
                        <pic:blipFill>
                          <a:blip r:embed="rId46"/>
                          <a:stretch>
                            <a:fillRect/>
                          </a:stretch>
                        </pic:blipFill>
                        <pic:spPr>
                          <a:xfrm>
                            <a:off x="0" y="0"/>
                            <a:ext cx="1543050" cy="2667000"/>
                          </a:xfrm>
                          <a:prstGeom prst="rect">
                            <a:avLst/>
                          </a:prstGeom>
                          <a:noFill/>
                          <a:ln w="9525">
                            <a:noFill/>
                          </a:ln>
                        </pic:spPr>
                      </pic:pic>
                    </a:graphicData>
                  </a:graphic>
                </wp:inline>
              </w:drawing>
            </w:r>
            <w:r>
              <w:rPr>
                <w:rStyle w:val="7"/>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drawing>
                <wp:inline distT="0" distB="0" distL="114300" distR="114300">
                  <wp:extent cx="1819275" cy="2667000"/>
                  <wp:effectExtent l="0" t="0" r="9525" b="0"/>
                  <wp:docPr id="27"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4" descr="IMG_299"/>
                          <pic:cNvPicPr>
                            <a:picLocks noChangeAspect="1"/>
                          </pic:cNvPicPr>
                        </pic:nvPicPr>
                        <pic:blipFill>
                          <a:blip r:embed="rId47"/>
                          <a:stretch>
                            <a:fillRect/>
                          </a:stretch>
                        </pic:blipFill>
                        <pic:spPr>
                          <a:xfrm>
                            <a:off x="0" y="0"/>
                            <a:ext cx="1819275" cy="2667000"/>
                          </a:xfrm>
                          <a:prstGeom prst="rect">
                            <a:avLst/>
                          </a:prstGeom>
                          <a:noFill/>
                          <a:ln w="9525">
                            <a:noFill/>
                          </a:ln>
                        </pic:spPr>
                      </pic:pic>
                    </a:graphicData>
                  </a:graphic>
                </wp:inline>
              </w:drawing>
            </w:r>
            <w:r>
              <w:rPr>
                <w:rStyle w:val="7"/>
                <w:rFonts w:hint="eastAsia" w:ascii="宋体" w:hAnsi="宋体" w:eastAsia="宋体" w:cs="宋体"/>
                <w:caps w:val="0"/>
                <w:spacing w:val="0"/>
                <w:kern w:val="0"/>
                <w:sz w:val="20"/>
                <w:szCs w:val="20"/>
                <w:lang w:val="en-US" w:eastAsia="zh-CN" w:bidi="ar"/>
              </w:rPr>
              <w:t> </w:t>
            </w:r>
            <w:r>
              <w:rPr>
                <w:rStyle w:val="7"/>
                <w:rFonts w:hint="eastAsia" w:ascii="宋体" w:hAnsi="宋体" w:eastAsia="宋体" w:cs="宋体"/>
                <w:caps w:val="0"/>
                <w:spacing w:val="0"/>
                <w:kern w:val="0"/>
                <w:sz w:val="20"/>
                <w:szCs w:val="20"/>
                <w:lang w:val="en-US" w:eastAsia="zh-CN" w:bidi="ar"/>
              </w:rPr>
              <w:drawing>
                <wp:inline distT="0" distB="0" distL="114300" distR="114300">
                  <wp:extent cx="1924050" cy="2667000"/>
                  <wp:effectExtent l="0" t="0" r="11430" b="0"/>
                  <wp:docPr id="32"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5" descr="IMG_300"/>
                          <pic:cNvPicPr>
                            <a:picLocks noChangeAspect="1"/>
                          </pic:cNvPicPr>
                        </pic:nvPicPr>
                        <pic:blipFill>
                          <a:blip r:embed="rId48"/>
                          <a:stretch>
                            <a:fillRect/>
                          </a:stretch>
                        </pic:blipFill>
                        <pic:spPr>
                          <a:xfrm>
                            <a:off x="0" y="0"/>
                            <a:ext cx="1924050" cy="2667000"/>
                          </a:xfrm>
                          <a:prstGeom prst="rect">
                            <a:avLst/>
                          </a:prstGeom>
                          <a:noFill/>
                          <a:ln w="9525">
                            <a:noFill/>
                          </a:ln>
                        </pic:spPr>
                      </pic:pic>
                    </a:graphicData>
                  </a:graphic>
                </wp:inline>
              </w:drawing>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本月锦绣紫荆城共投放报广4篇，全为尾盘淸售广告；华铭广场共4篇，主要为3、4#楼即将开盘广告；长龙中央公园3期共4篇，均为2、5#楼10月18日全城公开认筹信息。</w:t>
            </w:r>
            <w:bookmarkStart w:id="80" w:name="_Toc374521674"/>
            <w:bookmarkEnd w:id="80"/>
            <w:bookmarkStart w:id="81" w:name="_Toc366243094"/>
            <w:bookmarkEnd w:id="81"/>
            <w:bookmarkStart w:id="82" w:name="_Toc353178143"/>
            <w:bookmarkEnd w:id="82"/>
            <w:bookmarkStart w:id="83" w:name="_Toc347757556"/>
            <w:bookmarkEnd w:id="83"/>
            <w:bookmarkStart w:id="84" w:name="_Toc345167240"/>
            <w:bookmarkEnd w:id="84"/>
          </w:p>
          <w:p>
            <w:pPr>
              <w:pStyle w:val="3"/>
              <w:keepNext w:val="0"/>
              <w:keepLines w:val="0"/>
              <w:widowControl/>
              <w:suppressLineNumbers w:val="0"/>
              <w:spacing w:line="288" w:lineRule="atLeast"/>
              <w:jc w:val="left"/>
            </w:pPr>
            <w:r>
              <w:rPr>
                <w:caps w:val="0"/>
                <w:spacing w:val="0"/>
                <w:lang w:val="en-US"/>
              </w:rPr>
              <w:t>   </w:t>
            </w:r>
            <w:bookmarkStart w:id="85" w:name="_Toc403334998"/>
            <w:r>
              <w:rPr>
                <w:rFonts w:hint="eastAsia" w:ascii="宋体" w:hAnsi="宋体" w:eastAsia="宋体" w:cs="宋体"/>
                <w:caps w:val="0"/>
                <w:spacing w:val="0"/>
                <w:sz w:val="20"/>
                <w:szCs w:val="20"/>
                <w:lang w:val="en-US"/>
              </w:rPr>
              <w:t>二、报广投放</w:t>
            </w:r>
            <w:bookmarkEnd w:id="85"/>
            <w:r>
              <w:rPr>
                <w:rFonts w:hint="eastAsia" w:ascii="宋体" w:hAnsi="宋体" w:eastAsia="宋体" w:cs="宋体"/>
                <w:caps w:val="0"/>
                <w:spacing w:val="0"/>
                <w:sz w:val="20"/>
                <w:szCs w:val="20"/>
                <w:lang w:val="en-US"/>
              </w:rPr>
              <w:t>特征</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4"/>
                <w:szCs w:val="24"/>
                <w:lang w:val="en-US" w:eastAsia="zh-CN" w:bidi="ar"/>
              </w:rPr>
              <w:t>    1、投放时间</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4"/>
                <w:szCs w:val="24"/>
                <w:lang w:val="en-US" w:eastAsia="zh-CN" w:bidi="ar"/>
              </w:rPr>
              <w:t>            </w:t>
            </w:r>
            <w:r>
              <w:rPr>
                <w:rFonts w:hint="eastAsia" w:ascii="宋体" w:hAnsi="宋体" w:eastAsia="宋体" w:cs="宋体"/>
                <w:b/>
                <w:caps w:val="0"/>
                <w:spacing w:val="0"/>
                <w:kern w:val="0"/>
                <w:sz w:val="24"/>
                <w:szCs w:val="24"/>
                <w:lang w:val="en-US" w:eastAsia="zh-CN" w:bidi="ar"/>
              </w:rPr>
              <w:drawing>
                <wp:inline distT="0" distB="0" distL="114300" distR="114300">
                  <wp:extent cx="2438400" cy="1466850"/>
                  <wp:effectExtent l="0" t="0" r="0" b="11430"/>
                  <wp:docPr id="34"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6" descr="IMG_301"/>
                          <pic:cNvPicPr>
                            <a:picLocks noChangeAspect="1"/>
                          </pic:cNvPicPr>
                        </pic:nvPicPr>
                        <pic:blipFill>
                          <a:blip r:embed="rId49"/>
                          <a:stretch>
                            <a:fillRect/>
                          </a:stretch>
                        </pic:blipFill>
                        <pic:spPr>
                          <a:xfrm>
                            <a:off x="0" y="0"/>
                            <a:ext cx="2438400" cy="1466850"/>
                          </a:xfrm>
                          <a:prstGeom prst="rect">
                            <a:avLst/>
                          </a:prstGeom>
                          <a:noFill/>
                          <a:ln w="9525">
                            <a:noFill/>
                          </a:ln>
                        </pic:spPr>
                      </pic:pic>
                    </a:graphicData>
                  </a:graphic>
                </wp:inline>
              </w:drawing>
            </w:r>
            <w:r>
              <w:rPr>
                <w:rFonts w:hint="eastAsia" w:ascii="宋体" w:hAnsi="宋体" w:eastAsia="宋体" w:cs="宋体"/>
                <w:b/>
                <w:caps w:val="0"/>
                <w:spacing w:val="0"/>
                <w:kern w:val="0"/>
                <w:sz w:val="24"/>
                <w:szCs w:val="24"/>
                <w:lang w:val="en-US" w:eastAsia="zh-CN" w:bidi="ar"/>
              </w:rPr>
              <w:t> </w:t>
            </w:r>
            <w:r>
              <w:rPr>
                <w:rFonts w:hint="eastAsia" w:ascii="宋体" w:hAnsi="宋体" w:eastAsia="宋体" w:cs="宋体"/>
                <w:b/>
                <w:caps w:val="0"/>
                <w:spacing w:val="0"/>
                <w:kern w:val="0"/>
                <w:sz w:val="24"/>
                <w:szCs w:val="24"/>
                <w:lang w:val="en-US" w:eastAsia="zh-CN" w:bidi="ar"/>
              </w:rPr>
              <w:drawing>
                <wp:inline distT="0" distB="0" distL="114300" distR="114300">
                  <wp:extent cx="2447925" cy="1466850"/>
                  <wp:effectExtent l="0" t="0" r="5715" b="11430"/>
                  <wp:docPr id="1"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7" descr="IMG_302"/>
                          <pic:cNvPicPr>
                            <a:picLocks noChangeAspect="1"/>
                          </pic:cNvPicPr>
                        </pic:nvPicPr>
                        <pic:blipFill>
                          <a:blip r:embed="rId50"/>
                          <a:stretch>
                            <a:fillRect/>
                          </a:stretch>
                        </pic:blipFill>
                        <pic:spPr>
                          <a:xfrm>
                            <a:off x="0" y="0"/>
                            <a:ext cx="2447925" cy="1466850"/>
                          </a:xfrm>
                          <a:prstGeom prst="rect">
                            <a:avLst/>
                          </a:prstGeom>
                          <a:noFill/>
                          <a:ln w="9525">
                            <a:noFill/>
                          </a:ln>
                        </pic:spPr>
                      </pic:pic>
                    </a:graphicData>
                  </a:graphic>
                </wp:inline>
              </w:drawing>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caps w:val="0"/>
                <w:spacing w:val="0"/>
                <w:kern w:val="0"/>
                <w:sz w:val="20"/>
                <w:szCs w:val="20"/>
                <w:lang w:val="en-US" w:eastAsia="zh-CN" w:bidi="ar"/>
              </w:rPr>
              <w:t>   本月投广量较大的时间点有10号、17号、24号、29号、31号，</w:t>
            </w:r>
            <w:r>
              <w:rPr>
                <w:rFonts w:hint="eastAsia" w:ascii="宋体" w:hAnsi="宋体" w:eastAsia="宋体" w:cs="宋体"/>
                <w:b/>
                <w:caps w:val="0"/>
                <w:spacing w:val="0"/>
                <w:kern w:val="0"/>
                <w:sz w:val="20"/>
                <w:szCs w:val="20"/>
                <w:lang w:val="en-US" w:eastAsia="zh-CN" w:bidi="ar"/>
              </w:rPr>
              <w:t>主要集中在周五</w:t>
            </w:r>
            <w:r>
              <w:rPr>
                <w:rFonts w:hint="eastAsia" w:ascii="宋体" w:hAnsi="宋体" w:eastAsia="宋体" w:cs="宋体"/>
                <w:caps w:val="0"/>
                <w:spacing w:val="0"/>
                <w:kern w:val="0"/>
                <w:sz w:val="20"/>
                <w:szCs w:val="20"/>
                <w:lang w:val="en-US" w:eastAsia="zh-CN" w:bidi="ar"/>
              </w:rPr>
              <w:t>。上述时间段的投广量均相差不大。</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2、投放媒体及版面</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4"/>
                <w:szCs w:val="24"/>
                <w:lang w:val="en-US" w:eastAsia="zh-CN" w:bidi="ar"/>
              </w:rPr>
              <w:t>          </w:t>
            </w:r>
            <w:r>
              <w:rPr>
                <w:rFonts w:hint="eastAsia" w:ascii="宋体" w:hAnsi="宋体" w:eastAsia="宋体" w:cs="宋体"/>
                <w:b/>
                <w:caps w:val="0"/>
                <w:spacing w:val="0"/>
                <w:kern w:val="0"/>
                <w:sz w:val="24"/>
                <w:szCs w:val="24"/>
                <w:lang w:val="en-US" w:eastAsia="zh-CN" w:bidi="ar"/>
              </w:rPr>
              <w:drawing>
                <wp:inline distT="0" distB="0" distL="114300" distR="114300">
                  <wp:extent cx="2381250" cy="1333500"/>
                  <wp:effectExtent l="0" t="0" r="11430" b="7620"/>
                  <wp:docPr id="49"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descr="IMG_303"/>
                          <pic:cNvPicPr>
                            <a:picLocks noChangeAspect="1"/>
                          </pic:cNvPicPr>
                        </pic:nvPicPr>
                        <pic:blipFill>
                          <a:blip r:embed="rId51"/>
                          <a:stretch>
                            <a:fillRect/>
                          </a:stretch>
                        </pic:blipFill>
                        <pic:spPr>
                          <a:xfrm>
                            <a:off x="0" y="0"/>
                            <a:ext cx="2381250" cy="1333500"/>
                          </a:xfrm>
                          <a:prstGeom prst="rect">
                            <a:avLst/>
                          </a:prstGeom>
                          <a:noFill/>
                          <a:ln w="9525">
                            <a:noFill/>
                          </a:ln>
                        </pic:spPr>
                      </pic:pic>
                    </a:graphicData>
                  </a:graphic>
                </wp:inline>
              </w:drawing>
            </w:r>
            <w:r>
              <w:rPr>
                <w:rFonts w:hint="eastAsia" w:ascii="宋体" w:hAnsi="宋体" w:eastAsia="宋体" w:cs="宋体"/>
                <w:b/>
                <w:caps w:val="0"/>
                <w:spacing w:val="0"/>
                <w:kern w:val="0"/>
                <w:sz w:val="24"/>
                <w:szCs w:val="24"/>
                <w:lang w:val="en-US" w:eastAsia="zh-CN" w:bidi="ar"/>
              </w:rPr>
              <w:t>   </w:t>
            </w:r>
            <w:r>
              <w:rPr>
                <w:rFonts w:hint="eastAsia" w:ascii="宋体" w:hAnsi="宋体" w:eastAsia="宋体" w:cs="宋体"/>
                <w:b/>
                <w:caps w:val="0"/>
                <w:spacing w:val="0"/>
                <w:kern w:val="0"/>
                <w:sz w:val="24"/>
                <w:szCs w:val="24"/>
                <w:lang w:val="en-US" w:eastAsia="zh-CN" w:bidi="ar"/>
              </w:rPr>
              <w:drawing>
                <wp:inline distT="0" distB="0" distL="114300" distR="114300">
                  <wp:extent cx="2524125" cy="1333500"/>
                  <wp:effectExtent l="0" t="0" r="5715" b="7620"/>
                  <wp:docPr id="48"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9" descr="IMG_304"/>
                          <pic:cNvPicPr>
                            <a:picLocks noChangeAspect="1"/>
                          </pic:cNvPicPr>
                        </pic:nvPicPr>
                        <pic:blipFill>
                          <a:blip r:embed="rId52"/>
                          <a:stretch>
                            <a:fillRect/>
                          </a:stretch>
                        </pic:blipFill>
                        <pic:spPr>
                          <a:xfrm>
                            <a:off x="0" y="0"/>
                            <a:ext cx="2524125" cy="1333500"/>
                          </a:xfrm>
                          <a:prstGeom prst="rect">
                            <a:avLst/>
                          </a:prstGeom>
                          <a:noFill/>
                          <a:ln w="9525">
                            <a:noFill/>
                          </a:ln>
                        </pic:spPr>
                      </pic:pic>
                    </a:graphicData>
                  </a:graphic>
                </wp:inline>
              </w:drawing>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湖北都市前沿投放量位居本月榜首</w:t>
            </w:r>
            <w:r>
              <w:rPr>
                <w:rFonts w:hint="eastAsia" w:ascii="宋体" w:hAnsi="宋体" w:eastAsia="宋体" w:cs="宋体"/>
                <w:caps w:val="0"/>
                <w:spacing w:val="0"/>
                <w:kern w:val="0"/>
                <w:sz w:val="20"/>
                <w:szCs w:val="20"/>
                <w:lang w:val="en-US" w:eastAsia="zh-CN" w:bidi="ar"/>
              </w:rPr>
              <w:t>，共47篇，占纸媒总投放量74%。荆门晚报次之，共11篇。本月媒体投放版面</w:t>
            </w:r>
            <w:r>
              <w:rPr>
                <w:rFonts w:hint="eastAsia" w:ascii="宋体" w:hAnsi="宋体" w:eastAsia="宋体" w:cs="宋体"/>
                <w:b/>
                <w:caps w:val="0"/>
                <w:spacing w:val="0"/>
                <w:kern w:val="0"/>
                <w:sz w:val="20"/>
                <w:szCs w:val="20"/>
                <w:lang w:val="en-US" w:eastAsia="zh-CN" w:bidi="ar"/>
              </w:rPr>
              <w:t>以整版为主</w:t>
            </w:r>
            <w:r>
              <w:rPr>
                <w:rFonts w:hint="eastAsia" w:ascii="宋体" w:hAnsi="宋体" w:eastAsia="宋体" w:cs="宋体"/>
                <w:caps w:val="0"/>
                <w:spacing w:val="0"/>
                <w:kern w:val="0"/>
                <w:sz w:val="20"/>
                <w:szCs w:val="20"/>
                <w:lang w:val="en-US" w:eastAsia="zh-CN" w:bidi="ar"/>
              </w:rPr>
              <w:t>，共计45篇，投放量较多的楼盘主要有碧波春城、洋丰嘉园、长龙中央公园3期等。半版次之，共计19篇，投放量较多的楼盘主要有凤凰城、荆门宜洋汽车后市场等。</w:t>
            </w:r>
          </w:p>
          <w:p>
            <w:pPr>
              <w:pStyle w:val="2"/>
              <w:keepNext w:val="0"/>
              <w:keepLines w:val="0"/>
              <w:widowControl/>
              <w:suppressLineNumbers w:val="0"/>
              <w:spacing w:line="288" w:lineRule="atLeast"/>
              <w:jc w:val="center"/>
            </w:pPr>
            <w:bookmarkStart w:id="86" w:name="_Toc403334999"/>
            <w:r>
              <w:rPr>
                <w:rFonts w:hint="eastAsia" w:ascii="宋体" w:hAnsi="宋体" w:eastAsia="宋体" w:cs="宋体"/>
                <w:caps w:val="0"/>
                <w:spacing w:val="0"/>
                <w:sz w:val="27"/>
                <w:szCs w:val="27"/>
                <w:lang w:val="en-US"/>
              </w:rPr>
              <w:t>第六部分   </w:t>
            </w:r>
            <w:bookmarkEnd w:id="86"/>
            <w:r>
              <w:rPr>
                <w:rFonts w:hint="eastAsia" w:ascii="宋体" w:hAnsi="宋体" w:eastAsia="宋体" w:cs="宋体"/>
                <w:caps w:val="0"/>
                <w:spacing w:val="0"/>
                <w:sz w:val="27"/>
                <w:szCs w:val="27"/>
                <w:lang w:val="en-US"/>
              </w:rPr>
              <w:t>本月荆门楼市运行特点</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（1）土地市场：</w:t>
            </w:r>
            <w:r>
              <w:rPr>
                <w:rFonts w:hint="eastAsia" w:ascii="宋体" w:hAnsi="宋体" w:eastAsia="宋体" w:cs="宋体"/>
                <w:caps w:val="0"/>
                <w:spacing w:val="0"/>
                <w:kern w:val="0"/>
                <w:sz w:val="20"/>
                <w:szCs w:val="20"/>
                <w:lang w:val="en-US" w:eastAsia="zh-CN" w:bidi="ar"/>
              </w:rPr>
              <w:t>推地量少且成色不足，成交量价同环比均大幅下跌，</w:t>
            </w:r>
            <w:r>
              <w:rPr>
                <w:rFonts w:hint="eastAsia" w:ascii="宋体" w:hAnsi="宋体" w:eastAsia="宋体" w:cs="宋体"/>
                <w:b/>
                <w:caps w:val="0"/>
                <w:spacing w:val="0"/>
                <w:kern w:val="0"/>
                <w:sz w:val="20"/>
                <w:szCs w:val="20"/>
                <w:lang w:val="en-US" w:eastAsia="zh-CN" w:bidi="ar"/>
              </w:rPr>
              <w:t>土地市场遇冷</w:t>
            </w:r>
            <w:r>
              <w:rPr>
                <w:rFonts w:hint="eastAsia" w:ascii="宋体" w:hAnsi="宋体" w:eastAsia="宋体" w:cs="宋体"/>
                <w:caps w:val="0"/>
                <w:spacing w:val="0"/>
                <w:kern w:val="0"/>
                <w:sz w:val="20"/>
                <w:szCs w:val="20"/>
                <w:lang w:val="en-US" w:eastAsia="zh-CN" w:bidi="ar"/>
              </w:rPr>
              <w:t>。本月出让地块2宗，其中住宅类用地面积为0.7万方，环比减少72%，同比减少91%，</w:t>
            </w:r>
            <w:r>
              <w:rPr>
                <w:rFonts w:hint="eastAsia" w:ascii="宋体" w:hAnsi="宋体" w:eastAsia="宋体" w:cs="宋体"/>
                <w:b/>
                <w:caps w:val="0"/>
                <w:spacing w:val="0"/>
                <w:kern w:val="0"/>
                <w:sz w:val="20"/>
                <w:szCs w:val="20"/>
                <w:lang w:val="en-US" w:eastAsia="zh-CN" w:bidi="ar"/>
              </w:rPr>
              <w:t>住宅类用地同环比均大幅减少；</w:t>
            </w:r>
            <w:r>
              <w:rPr>
                <w:rFonts w:hint="eastAsia" w:ascii="宋体" w:hAnsi="宋体" w:eastAsia="宋体" w:cs="宋体"/>
                <w:caps w:val="0"/>
                <w:spacing w:val="0"/>
                <w:kern w:val="0"/>
                <w:sz w:val="20"/>
                <w:szCs w:val="20"/>
                <w:lang w:val="en-US" w:eastAsia="zh-CN" w:bidi="ar"/>
              </w:rPr>
              <w:t>本月成交地块3宗，成交总面积环比减少82%，同比减少58%，成交价格环比减少11%，同比减少27%，其中住宅类用地环比减少98%，同比减少82%，</w:t>
            </w:r>
            <w:r>
              <w:rPr>
                <w:rFonts w:hint="eastAsia" w:ascii="宋体" w:hAnsi="宋体" w:eastAsia="宋体" w:cs="宋体"/>
                <w:b/>
                <w:caps w:val="0"/>
                <w:spacing w:val="0"/>
                <w:kern w:val="0"/>
                <w:sz w:val="20"/>
                <w:szCs w:val="20"/>
                <w:lang w:val="en-US" w:eastAsia="zh-CN" w:bidi="ar"/>
              </w:rPr>
              <w:t>住宅类用地成交量大幅度下跌。</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（2）楼市分析：</w:t>
            </w:r>
            <w:r>
              <w:rPr>
                <w:rFonts w:hint="eastAsia" w:ascii="宋体" w:hAnsi="宋体" w:eastAsia="宋体" w:cs="宋体"/>
                <w:caps w:val="0"/>
                <w:spacing w:val="0"/>
                <w:kern w:val="0"/>
                <w:sz w:val="20"/>
                <w:szCs w:val="20"/>
                <w:lang w:val="en-US" w:eastAsia="zh-CN" w:bidi="ar"/>
              </w:rPr>
              <w:t>楼市传统销售旺季不觅踪影，</w:t>
            </w:r>
            <w:r>
              <w:rPr>
                <w:rFonts w:hint="eastAsia" w:ascii="宋体" w:hAnsi="宋体" w:eastAsia="宋体" w:cs="宋体"/>
                <w:b/>
                <w:caps w:val="0"/>
                <w:spacing w:val="0"/>
                <w:kern w:val="0"/>
                <w:sz w:val="20"/>
                <w:szCs w:val="20"/>
                <w:lang w:val="en-US" w:eastAsia="zh-CN" w:bidi="ar"/>
              </w:rPr>
              <w:t>“银十”表现平平</w:t>
            </w:r>
            <w:r>
              <w:rPr>
                <w:rFonts w:hint="eastAsia" w:ascii="宋体" w:hAnsi="宋体" w:eastAsia="宋体" w:cs="宋体"/>
                <w:caps w:val="0"/>
                <w:spacing w:val="0"/>
                <w:kern w:val="0"/>
                <w:sz w:val="20"/>
                <w:szCs w:val="20"/>
                <w:lang w:val="en-US" w:eastAsia="zh-CN" w:bidi="ar"/>
              </w:rPr>
              <w:t>。中央持续发力，救市举措不断，</w:t>
            </w:r>
            <w:r>
              <w:rPr>
                <w:rFonts w:hint="eastAsia" w:ascii="宋体" w:hAnsi="宋体" w:eastAsia="宋体" w:cs="宋体"/>
                <w:b/>
                <w:caps w:val="0"/>
                <w:spacing w:val="0"/>
                <w:kern w:val="0"/>
                <w:sz w:val="20"/>
                <w:szCs w:val="20"/>
                <w:lang w:val="en-US" w:eastAsia="zh-CN" w:bidi="ar"/>
              </w:rPr>
              <w:t>市场行情确实不乐观</w:t>
            </w:r>
            <w:r>
              <w:rPr>
                <w:rFonts w:hint="eastAsia" w:ascii="宋体" w:hAnsi="宋体" w:eastAsia="宋体" w:cs="宋体"/>
                <w:caps w:val="0"/>
                <w:spacing w:val="0"/>
                <w:kern w:val="0"/>
                <w:sz w:val="20"/>
                <w:szCs w:val="20"/>
                <w:lang w:val="en-US" w:eastAsia="zh-CN" w:bidi="ar"/>
              </w:rPr>
              <w:t>。十月荆门楼市行情较九月有所好转，但从今年以来荆门商品房成交总体情况来看，本月成交量属于垫底范围内，面对传统销售旺季，</w:t>
            </w:r>
            <w:r>
              <w:rPr>
                <w:rFonts w:hint="eastAsia" w:ascii="宋体" w:hAnsi="宋体" w:eastAsia="宋体" w:cs="宋体"/>
                <w:b/>
                <w:caps w:val="0"/>
                <w:spacing w:val="0"/>
                <w:kern w:val="0"/>
                <w:sz w:val="20"/>
                <w:szCs w:val="20"/>
                <w:lang w:val="en-US" w:eastAsia="zh-CN" w:bidi="ar"/>
              </w:rPr>
              <w:t>荆门楼市乏力</w:t>
            </w:r>
            <w:r>
              <w:rPr>
                <w:rFonts w:hint="eastAsia" w:ascii="宋体" w:hAnsi="宋体" w:eastAsia="宋体" w:cs="宋体"/>
                <w:caps w:val="0"/>
                <w:spacing w:val="0"/>
                <w:kern w:val="0"/>
                <w:sz w:val="20"/>
                <w:szCs w:val="20"/>
                <w:lang w:val="en-US" w:eastAsia="zh-CN" w:bidi="ar"/>
              </w:rPr>
              <w:t>。</w:t>
            </w:r>
          </w:p>
          <w:p>
            <w:pPr>
              <w:keepNext w:val="0"/>
              <w:keepLines w:val="0"/>
              <w:widowControl/>
              <w:suppressLineNumbers w:val="0"/>
              <w:spacing w:line="288" w:lineRule="atLeast"/>
              <w:ind w:left="0" w:firstLine="0"/>
              <w:jc w:val="left"/>
              <w:rPr>
                <w:rFonts w:hint="eastAsia" w:ascii="宋体" w:hAnsi="宋体" w:eastAsia="宋体" w:cs="宋体"/>
                <w:caps w:val="0"/>
                <w:spacing w:val="0"/>
                <w:sz w:val="24"/>
                <w:szCs w:val="24"/>
                <w:lang w:val="en-US"/>
              </w:rPr>
            </w:pPr>
            <w:r>
              <w:rPr>
                <w:rFonts w:hint="eastAsia" w:ascii="宋体" w:hAnsi="宋体" w:eastAsia="宋体" w:cs="宋体"/>
                <w:b/>
                <w:caps w:val="0"/>
                <w:spacing w:val="0"/>
                <w:kern w:val="0"/>
                <w:sz w:val="20"/>
                <w:szCs w:val="20"/>
                <w:lang w:val="en-US" w:eastAsia="zh-CN" w:bidi="ar"/>
              </w:rPr>
              <w:t>  （3）媒体监测及楼盘动态：</w:t>
            </w:r>
            <w:r>
              <w:rPr>
                <w:rFonts w:hint="eastAsia" w:ascii="宋体" w:hAnsi="宋体" w:eastAsia="宋体" w:cs="宋体"/>
                <w:caps w:val="0"/>
                <w:spacing w:val="0"/>
                <w:kern w:val="0"/>
                <w:sz w:val="20"/>
                <w:szCs w:val="20"/>
                <w:lang w:val="en-US" w:eastAsia="zh-CN" w:bidi="ar"/>
              </w:rPr>
              <w:t>本月报广投放量较上月大幅减少，处在国庆期间，报社停刊及售楼处外出派单是导致报广减少的主要原因。面对市场低迷，来访不足的尴尬处境，</w:t>
            </w:r>
            <w:r>
              <w:rPr>
                <w:rFonts w:hint="eastAsia" w:ascii="宋体" w:hAnsi="宋体" w:eastAsia="宋体" w:cs="宋体"/>
                <w:b/>
                <w:caps w:val="0"/>
                <w:spacing w:val="0"/>
                <w:kern w:val="0"/>
                <w:sz w:val="20"/>
                <w:szCs w:val="20"/>
                <w:lang w:val="en-US" w:eastAsia="zh-CN" w:bidi="ar"/>
              </w:rPr>
              <w:t>开发商均寄希望于“活动旺场”，</w:t>
            </w:r>
            <w:r>
              <w:rPr>
                <w:rFonts w:hint="eastAsia" w:ascii="宋体" w:hAnsi="宋体" w:eastAsia="宋体" w:cs="宋体"/>
                <w:caps w:val="0"/>
                <w:spacing w:val="0"/>
                <w:kern w:val="0"/>
                <w:sz w:val="20"/>
                <w:szCs w:val="20"/>
                <w:lang w:val="en-US" w:eastAsia="zh-CN" w:bidi="ar"/>
              </w:rPr>
              <w:t>本月较有特色的活动有：荆门宜洋汽车后市场组织“全民营销”、昊天山水城推出魅惑十足的“光棍节脱光总动员活动”、万达广场从日常生活所需入手大使“来访即送食用油”招数及万华城倡导的“荆门方言大赛”等。</w:t>
            </w:r>
          </w:p>
        </w:tc>
      </w:tr>
    </w:tbl>
    <w:p>
      <w:bookmarkStart w:id="87" w:name="_GoBack"/>
      <w:bookmarkEnd w:id="87"/>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CEB7F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6">
    <w:name w:val="Default Paragraph Font"/>
    <w:semiHidden/>
    <w:qFormat/>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4" Type="http://schemas.openxmlformats.org/officeDocument/2006/relationships/fontTable" Target="fontTable.xml"/><Relationship Id="rId53" Type="http://schemas.openxmlformats.org/officeDocument/2006/relationships/customXml" Target="../customXml/item1.xml"/><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2019-09-30T02:40:31Z</dcterms:created>
  <dc:creator>HP</dc:creator>
  <cp:lastModifiedBy>joke</cp:lastModifiedBy>
  <dcterms:modified xsi:type="dcterms:W3CDTF">2019-09-30T02:40:44Z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