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W w:w="8208" w:type="dxa"/>
        <w:jc w:val="center"/>
        <w:tblCellSpacing w:w="0" w:type="dxa"/>
        <w:tblInd w:w="49" w:type="dxa"/>
        <w:shd w:val="clear" w:color="auto" w:fill="FFFFFF"/>
        <w:tblLayout w:type="fixed"/>
        <w:tblCellMar>
          <w:top w:w="132" w:type="dxa"/>
          <w:left w:w="0" w:type="dxa"/>
          <w:bottom w:w="0" w:type="dxa"/>
          <w:right w:w="0" w:type="dxa"/>
        </w:tblCellMar>
      </w:tblPr>
      <w:tblGrid>
        <w:gridCol w:w="8208"/>
      </w:tblGrid>
      <w:tr>
        <w:tblPrEx>
          <w:tblLayout w:type="fixed"/>
          <w:tblCellMar>
            <w:top w:w="132" w:type="dxa"/>
            <w:left w:w="0" w:type="dxa"/>
            <w:bottom w:w="0" w:type="dxa"/>
            <w:right w:w="0" w:type="dxa"/>
          </w:tblCellMar>
        </w:tblPrEx>
        <w:trPr>
          <w:trHeight w:val="420" w:hRule="atLeast"/>
          <w:tblCellSpacing w:w="0" w:type="dxa"/>
          <w:jc w:val="center"/>
        </w:trPr>
        <w:tc>
          <w:tcPr>
            <w:tcW w:w="8208" w:type="dxa"/>
            <w:shd w:val="clear" w:color="auto" w:fill="FFFFFF"/>
            <w:vAlign w:val="center"/>
          </w:tcPr>
          <w:p>
            <w:pPr>
              <w:keepNext w:val="0"/>
              <w:keepLines w:val="0"/>
              <w:widowControl/>
              <w:suppressLineNumbers w:val="0"/>
              <w:ind w:left="0" w:firstLine="0"/>
              <w:jc w:val="center"/>
              <w:rPr>
                <w:rFonts w:hint="eastAsia" w:ascii="宋体" w:hAnsi="宋体" w:eastAsia="宋体" w:cs="宋体"/>
                <w:b/>
                <w:caps w:val="0"/>
                <w:color w:val="D00000"/>
                <w:spacing w:val="0"/>
                <w:sz w:val="16"/>
                <w:szCs w:val="16"/>
              </w:rPr>
            </w:pPr>
            <w:r>
              <w:rPr>
                <w:rFonts w:hint="eastAsia" w:ascii="宋体" w:hAnsi="宋体" w:eastAsia="宋体" w:cs="宋体"/>
                <w:b/>
                <w:caps w:val="0"/>
                <w:color w:val="D00000"/>
                <w:spacing w:val="0"/>
                <w:kern w:val="0"/>
                <w:sz w:val="16"/>
                <w:szCs w:val="16"/>
                <w:lang w:val="en-US" w:eastAsia="zh-CN" w:bidi="ar"/>
              </w:rPr>
              <w:t>2016年7月宜昌城区 房地产市场分析报告</w:t>
            </w:r>
          </w:p>
        </w:tc>
      </w:tr>
      <w:tr>
        <w:tblPrEx>
          <w:tblLayout w:type="fixed"/>
          <w:tblCellMar>
            <w:top w:w="132" w:type="dxa"/>
            <w:left w:w="0" w:type="dxa"/>
            <w:bottom w:w="0" w:type="dxa"/>
            <w:right w:w="0" w:type="dxa"/>
          </w:tblCellMar>
        </w:tblPrEx>
        <w:trPr>
          <w:trHeight w:val="301" w:hRule="atLeast"/>
          <w:tblCellSpacing w:w="0" w:type="dxa"/>
          <w:jc w:val="center"/>
        </w:trPr>
        <w:tc>
          <w:tcPr>
            <w:tcW w:w="8208" w:type="dxa"/>
            <w:shd w:val="clear" w:color="auto" w:fill="FFFFFF"/>
            <w:vAlign w:val="center"/>
          </w:tcPr>
          <w:p>
            <w:pPr>
              <w:keepNext w:val="0"/>
              <w:keepLines w:val="0"/>
              <w:widowControl/>
              <w:suppressLineNumbers w:val="0"/>
              <w:ind w:left="0" w:firstLine="0"/>
              <w:jc w:val="center"/>
              <w:rPr>
                <w:rFonts w:hint="eastAsia" w:ascii="宋体" w:hAnsi="宋体" w:eastAsia="宋体" w:cs="宋体"/>
                <w:caps w:val="0"/>
                <w:color w:val="6C5239"/>
                <w:spacing w:val="0"/>
                <w:sz w:val="14"/>
                <w:szCs w:val="14"/>
              </w:rPr>
            </w:pPr>
            <w:r>
              <w:rPr>
                <w:rFonts w:hint="eastAsia" w:ascii="宋体" w:hAnsi="宋体" w:eastAsia="宋体" w:cs="宋体"/>
                <w:caps w:val="0"/>
                <w:color w:val="6C5239"/>
                <w:spacing w:val="0"/>
                <w:kern w:val="0"/>
                <w:sz w:val="14"/>
                <w:szCs w:val="14"/>
                <w:lang w:val="en-US" w:eastAsia="zh-CN" w:bidi="ar"/>
              </w:rPr>
              <w:t>发布时间：8/11/2016 4:22:03 PM 浏览：1916</w:t>
            </w:r>
          </w:p>
        </w:tc>
      </w:tr>
    </w:tbl>
    <w:p>
      <w:pPr>
        <w:rPr>
          <w:vanish/>
          <w:sz w:val="24"/>
          <w:szCs w:val="24"/>
        </w:rPr>
      </w:pPr>
    </w:p>
    <w:tbl>
      <w:tblPr>
        <w:tblW w:w="8306" w:type="dxa"/>
        <w:tblCellSpacing w:w="0" w:type="dxa"/>
        <w:tblInd w:w="0" w:type="dxa"/>
        <w:shd w:val="clear" w:color="auto" w:fill="FFFFFF"/>
        <w:tblLayout w:type="fixed"/>
        <w:tblCellMar>
          <w:top w:w="0" w:type="dxa"/>
          <w:left w:w="0" w:type="dxa"/>
          <w:bottom w:w="0" w:type="dxa"/>
          <w:right w:w="0" w:type="dxa"/>
        </w:tblCellMar>
      </w:tblPr>
      <w:tblGrid>
        <w:gridCol w:w="4153"/>
        <w:gridCol w:w="4153"/>
      </w:tblGrid>
      <w:tr>
        <w:tblPrEx>
          <w:shd w:val="clear" w:color="auto" w:fill="FFFFFF"/>
          <w:tblLayout w:type="fixed"/>
          <w:tblCellMar>
            <w:top w:w="0" w:type="dxa"/>
            <w:left w:w="0" w:type="dxa"/>
            <w:bottom w:w="0" w:type="dxa"/>
            <w:right w:w="0" w:type="dxa"/>
          </w:tblCellMar>
        </w:tblPrEx>
        <w:trPr>
          <w:tblCellSpacing w:w="0" w:type="dxa"/>
        </w:trPr>
        <w:tc>
          <w:tcPr>
            <w:tcW w:w="4153" w:type="dxa"/>
            <w:shd w:val="clear" w:color="auto" w:fill="FFFFFF"/>
            <w:vAlign w:val="center"/>
          </w:tcPr>
          <w:p>
            <w:pPr>
              <w:keepNext w:val="0"/>
              <w:keepLines w:val="0"/>
              <w:widowControl/>
              <w:suppressLineNumbers w:val="0"/>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tc>
        <w:tc>
          <w:tcPr>
            <w:tcW w:w="4153" w:type="dxa"/>
            <w:shd w:val="clear" w:color="auto" w:fill="FFFFFF"/>
            <w:vAlign w:val="center"/>
          </w:tcPr>
          <w:p>
            <w:pPr>
              <w:keepNext w:val="0"/>
              <w:keepLines w:val="0"/>
              <w:widowControl/>
              <w:suppressLineNumbers w:val="0"/>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tc>
      </w:tr>
    </w:tbl>
    <w:p>
      <w:pPr>
        <w:rPr>
          <w:vanish/>
          <w:sz w:val="24"/>
          <w:szCs w:val="24"/>
        </w:rPr>
      </w:pPr>
    </w:p>
    <w:tbl>
      <w:tblPr>
        <w:tblW w:w="8306" w:type="dxa"/>
        <w:jc w:val="center"/>
        <w:tblCellSpacing w:w="0" w:type="dxa"/>
        <w:tblInd w:w="0" w:type="dxa"/>
        <w:shd w:val="clear" w:color="auto" w:fill="FFFFFF"/>
        <w:tblLayout w:type="fixed"/>
        <w:tblCellMar>
          <w:top w:w="0" w:type="dxa"/>
          <w:left w:w="0" w:type="dxa"/>
          <w:bottom w:w="0" w:type="dxa"/>
          <w:right w:w="0" w:type="dxa"/>
        </w:tblCellMar>
      </w:tblPr>
      <w:tblGrid>
        <w:gridCol w:w="8306"/>
      </w:tblGrid>
      <w:tr>
        <w:tblPrEx>
          <w:shd w:val="clear" w:color="auto" w:fill="FFFFFF"/>
          <w:tblLayout w:type="fixed"/>
          <w:tblCellMar>
            <w:top w:w="0" w:type="dxa"/>
            <w:left w:w="0" w:type="dxa"/>
            <w:bottom w:w="0" w:type="dxa"/>
            <w:right w:w="0" w:type="dxa"/>
          </w:tblCellMar>
        </w:tblPrEx>
        <w:trPr>
          <w:trHeight w:val="301" w:hRule="atLeast"/>
          <w:tblCellSpacing w:w="0" w:type="dxa"/>
          <w:jc w:val="center"/>
        </w:trPr>
        <w:tc>
          <w:tcPr>
            <w:tcW w:w="8306" w:type="dxa"/>
            <w:shd w:val="clear" w:color="auto" w:fill="FFFFFF"/>
            <w:vAlign w:val="center"/>
          </w:tcPr>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特别提醒</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数据采集时间说明</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本文内宏观政策、城市规划以及市场观点信息采集日期为2016年7月1日-31日；</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本文内市场供应数据采集日期为2016年7月1日-31日；</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本文内市场销售数据采集日期为2016年7月1日-31日；</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本文内土地市场新增数据采集日期为2016年7月全月数据；</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本文内土地市场成交数据采集日期为2016年7月1日-31日；</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本文内媒体登录数据采集日期为2016年7月1日-31日。</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版权说明</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本文内包含的资料属于武汉正邦兴业地产顾问有限公司的商业机密, 一旦泄漏，可能被商业竞争者</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利用，因此本文档内容仅限于武汉正邦兴业地产顾问有限公司内部及相关合作伙伴参考之用，除此之外，不得私自发布、使用和复制文档的任何内容。</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如果武汉正邦兴业地产顾问有限公司相关合作方或第三方决定采用本文或本文内数据，对本文档中</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数据的发布、使用和复制的必须通告武汉正邦兴业地产顾问有限公司并且在引用文本中进行明确说明。</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本限制条款不适用于从其它合法渠道得到对文中包含数据的使用授权的情况。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版权由武汉正邦兴业地产顾问有限公司所有。</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本报告数据说明：</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1、本报告中所涉及的批准预售、新开盘及加推、成交数据未特别注明的，均为建筑面积；</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2、本报告中所涉及的新开盘及加推、成交价格未特别注明的，均为建筑面积价格；</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3、本报告中批准预售、成交数据均来自宜昌房地产交易网站；土地数据来自宜昌市国土资源局网站。</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pStyle w:val="2"/>
              <w:keepNext w:val="0"/>
              <w:keepLines w:val="0"/>
              <w:widowControl/>
              <w:suppressLineNumbers w:val="0"/>
              <w:spacing w:line="432" w:lineRule="atLeast"/>
              <w:jc w:val="center"/>
            </w:pPr>
            <w:r>
              <w:rPr>
                <w:rFonts w:hint="eastAsia" w:ascii="宋体" w:hAnsi="宋体" w:eastAsia="宋体" w:cs="宋体"/>
                <w:caps w:val="0"/>
                <w:spacing w:val="0"/>
                <w:sz w:val="32"/>
                <w:szCs w:val="32"/>
                <w:lang/>
              </w:rPr>
              <w:t>  第一部分   楼市政策分析</w:t>
            </w:r>
          </w:p>
          <w:p>
            <w:pPr>
              <w:pStyle w:val="3"/>
              <w:keepNext w:val="0"/>
              <w:keepLines w:val="0"/>
              <w:widowControl/>
              <w:suppressLineNumbers w:val="0"/>
              <w:spacing w:line="324" w:lineRule="atLeast"/>
              <w:ind w:left="426" w:firstLine="0"/>
              <w:jc w:val="center"/>
            </w:pPr>
            <w:bookmarkStart w:id="0" w:name="_Toc398024652"/>
            <w:bookmarkEnd w:id="0"/>
            <w:bookmarkStart w:id="1" w:name="_Toc384797619"/>
            <w:bookmarkEnd w:id="1"/>
            <w:bookmarkStart w:id="2" w:name="_Toc384797303"/>
            <w:bookmarkEnd w:id="2"/>
            <w:bookmarkStart w:id="3" w:name="_Toc384797221"/>
            <w:bookmarkEnd w:id="3"/>
            <w:bookmarkStart w:id="4" w:name="_Toc345167227"/>
            <w:r>
              <w:rPr>
                <w:rFonts w:hint="eastAsia" w:ascii="宋体" w:hAnsi="宋体" w:eastAsia="宋体" w:cs="宋体"/>
                <w:caps w:val="0"/>
                <w:spacing w:val="0"/>
                <w:sz w:val="24"/>
                <w:szCs w:val="24"/>
              </w:rPr>
              <w:t>一、</w:t>
            </w:r>
            <w:bookmarkEnd w:id="4"/>
            <w:r>
              <w:rPr>
                <w:rFonts w:hint="eastAsia" w:ascii="宋体" w:hAnsi="宋体" w:eastAsia="宋体" w:cs="宋体"/>
                <w:caps w:val="0"/>
                <w:spacing w:val="0"/>
                <w:sz w:val="28"/>
                <w:szCs w:val="28"/>
                <w:lang/>
              </w:rPr>
              <w:t>本月楼市政策一览</w:t>
            </w:r>
          </w:p>
          <w:p>
            <w:pPr>
              <w:pStyle w:val="4"/>
              <w:keepNext w:val="0"/>
              <w:keepLines w:val="0"/>
              <w:widowControl/>
              <w:suppressLineNumbers w:val="0"/>
              <w:spacing w:line="216" w:lineRule="atLeast"/>
              <w:ind w:left="0" w:firstLine="482"/>
              <w:jc w:val="left"/>
            </w:pPr>
            <w:r>
              <w:rPr>
                <w:rFonts w:hint="eastAsia" w:ascii="宋体" w:hAnsi="宋体" w:eastAsia="宋体" w:cs="宋体"/>
                <w:b/>
                <w:caps w:val="0"/>
                <w:color w:val="000000"/>
                <w:spacing w:val="0"/>
                <w:sz w:val="14"/>
                <w:szCs w:val="14"/>
                <w:lang w:val="en-US"/>
              </w:rPr>
              <w:t>1</w:t>
            </w:r>
            <w:r>
              <w:rPr>
                <w:rFonts w:hint="eastAsia" w:ascii="宋体" w:hAnsi="宋体" w:eastAsia="宋体" w:cs="宋体"/>
                <w:b/>
                <w:caps w:val="0"/>
                <w:color w:val="000000"/>
                <w:spacing w:val="0"/>
                <w:sz w:val="14"/>
                <w:szCs w:val="14"/>
              </w:rPr>
              <w:t>、抑制资产泡沫出重手 房地产再融资严禁买地及还贷</w:t>
            </w:r>
          </w:p>
          <w:p>
            <w:pPr>
              <w:pStyle w:val="4"/>
              <w:keepNext w:val="0"/>
              <w:keepLines w:val="0"/>
              <w:widowControl/>
              <w:suppressLineNumbers w:val="0"/>
              <w:spacing w:line="216" w:lineRule="atLeast"/>
              <w:ind w:left="0" w:firstLine="480"/>
              <w:jc w:val="left"/>
            </w:pPr>
            <w:r>
              <w:rPr>
                <w:rFonts w:hint="eastAsia" w:ascii="宋体" w:hAnsi="宋体" w:eastAsia="宋体" w:cs="宋体"/>
                <w:caps w:val="0"/>
                <w:color w:val="000000"/>
                <w:spacing w:val="0"/>
                <w:sz w:val="14"/>
                <w:szCs w:val="14"/>
                <w:lang w:val="en-US"/>
              </w:rPr>
              <w:t>7</w:t>
            </w:r>
            <w:r>
              <w:rPr>
                <w:rFonts w:hint="eastAsia" w:ascii="宋体" w:hAnsi="宋体" w:eastAsia="宋体" w:cs="宋体"/>
                <w:caps w:val="0"/>
                <w:color w:val="000000"/>
                <w:spacing w:val="0"/>
                <w:sz w:val="14"/>
                <w:szCs w:val="14"/>
              </w:rPr>
              <w:t>月</w:t>
            </w:r>
            <w:r>
              <w:rPr>
                <w:rFonts w:hint="eastAsia" w:ascii="宋体" w:hAnsi="宋体" w:eastAsia="宋体" w:cs="宋体"/>
                <w:caps w:val="0"/>
                <w:color w:val="000000"/>
                <w:spacing w:val="0"/>
                <w:sz w:val="14"/>
                <w:szCs w:val="14"/>
                <w:lang w:val="en-US"/>
              </w:rPr>
              <w:t>28</w:t>
            </w:r>
            <w:r>
              <w:rPr>
                <w:rFonts w:hint="eastAsia" w:ascii="宋体" w:hAnsi="宋体" w:eastAsia="宋体" w:cs="宋体"/>
                <w:caps w:val="0"/>
                <w:color w:val="000000"/>
                <w:spacing w:val="0"/>
                <w:sz w:val="14"/>
                <w:szCs w:val="14"/>
              </w:rPr>
              <w:t>日，证监会透露上市房企募集资金只能用于房地产建设，而不能用于拿地和偿还银行贷款。这是继上海、深圳、南京等地房地产调控政策收紧后的又一记重拳，对于依赖融资买地的房企来说，影响巨大。</w:t>
            </w:r>
          </w:p>
          <w:p>
            <w:pPr>
              <w:pStyle w:val="4"/>
              <w:keepNext w:val="0"/>
              <w:keepLines w:val="0"/>
              <w:widowControl/>
              <w:suppressLineNumbers w:val="0"/>
              <w:spacing w:line="216" w:lineRule="atLeast"/>
              <w:ind w:left="0" w:firstLine="480"/>
              <w:jc w:val="left"/>
            </w:pPr>
            <w:r>
              <w:rPr>
                <w:rFonts w:hint="eastAsia" w:ascii="宋体" w:hAnsi="宋体" w:eastAsia="宋体" w:cs="宋体"/>
                <w:caps w:val="0"/>
                <w:color w:val="000000"/>
                <w:spacing w:val="0"/>
                <w:sz w:val="14"/>
                <w:szCs w:val="14"/>
              </w:rPr>
              <w:t>通过公开发行和非公开发行进行再融资的渠道被收紧，房企想从资本市场低成本</w:t>
            </w:r>
            <w:r>
              <w:rPr>
                <w:rFonts w:hint="eastAsia" w:ascii="宋体" w:hAnsi="宋体" w:eastAsia="宋体" w:cs="宋体"/>
                <w:caps w:val="0"/>
                <w:color w:val="000000"/>
                <w:spacing w:val="0"/>
                <w:sz w:val="14"/>
                <w:szCs w:val="14"/>
                <w:lang w:val="en-US"/>
              </w:rPr>
              <w:t>“</w:t>
            </w:r>
            <w:r>
              <w:rPr>
                <w:rFonts w:hint="eastAsia" w:ascii="宋体" w:hAnsi="宋体" w:eastAsia="宋体" w:cs="宋体"/>
                <w:caps w:val="0"/>
                <w:color w:val="000000"/>
                <w:spacing w:val="0"/>
                <w:sz w:val="14"/>
                <w:szCs w:val="14"/>
              </w:rPr>
              <w:t>补血</w:t>
            </w:r>
            <w:r>
              <w:rPr>
                <w:rFonts w:hint="eastAsia" w:ascii="宋体" w:hAnsi="宋体" w:eastAsia="宋体" w:cs="宋体"/>
                <w:caps w:val="0"/>
                <w:color w:val="000000"/>
                <w:spacing w:val="0"/>
                <w:sz w:val="14"/>
                <w:szCs w:val="14"/>
                <w:lang w:val="en-US"/>
              </w:rPr>
              <w:t>”</w:t>
            </w:r>
            <w:r>
              <w:rPr>
                <w:rFonts w:hint="eastAsia" w:ascii="宋体" w:hAnsi="宋体" w:eastAsia="宋体" w:cs="宋体"/>
                <w:caps w:val="0"/>
                <w:color w:val="000000"/>
                <w:spacing w:val="0"/>
                <w:sz w:val="14"/>
                <w:szCs w:val="14"/>
              </w:rPr>
              <w:t>变得困难。</w:t>
            </w:r>
            <w:r>
              <w:rPr>
                <w:rFonts w:hint="eastAsia" w:ascii="宋体" w:hAnsi="宋体" w:eastAsia="宋体" w:cs="宋体"/>
                <w:b/>
                <w:caps w:val="0"/>
                <w:color w:val="000000"/>
                <w:spacing w:val="0"/>
                <w:sz w:val="14"/>
                <w:szCs w:val="14"/>
              </w:rPr>
              <w:t>从供给侧改革的角度看</w:t>
            </w:r>
            <w:r>
              <w:rPr>
                <w:rFonts w:hint="eastAsia" w:ascii="宋体" w:hAnsi="宋体" w:eastAsia="宋体" w:cs="宋体"/>
                <w:caps w:val="0"/>
                <w:color w:val="000000"/>
                <w:spacing w:val="0"/>
                <w:sz w:val="14"/>
                <w:szCs w:val="14"/>
              </w:rPr>
              <w:t>，本应继续放宽再融资，但由于持续宽松政策下高杠杆增多，很多房企大规模融资，同时盲目拿地王，这都是此前中央提及的</w:t>
            </w:r>
            <w:r>
              <w:rPr>
                <w:rFonts w:hint="eastAsia" w:ascii="宋体" w:hAnsi="宋体" w:eastAsia="宋体" w:cs="宋体"/>
                <w:caps w:val="0"/>
                <w:color w:val="000000"/>
                <w:spacing w:val="0"/>
                <w:sz w:val="14"/>
                <w:szCs w:val="14"/>
                <w:lang w:val="en-US"/>
              </w:rPr>
              <w:t>“</w:t>
            </w:r>
            <w:r>
              <w:rPr>
                <w:rFonts w:hint="eastAsia" w:ascii="宋体" w:hAnsi="宋体" w:eastAsia="宋体" w:cs="宋体"/>
                <w:caps w:val="0"/>
                <w:color w:val="000000"/>
                <w:spacing w:val="0"/>
                <w:sz w:val="14"/>
                <w:szCs w:val="14"/>
              </w:rPr>
              <w:t>资产泡沫</w:t>
            </w:r>
            <w:r>
              <w:rPr>
                <w:rFonts w:hint="eastAsia" w:ascii="宋体" w:hAnsi="宋体" w:eastAsia="宋体" w:cs="宋体"/>
                <w:caps w:val="0"/>
                <w:color w:val="000000"/>
                <w:spacing w:val="0"/>
                <w:sz w:val="14"/>
                <w:szCs w:val="14"/>
                <w:lang w:val="en-US"/>
              </w:rPr>
              <w:t>”</w:t>
            </w:r>
            <w:r>
              <w:rPr>
                <w:rFonts w:hint="eastAsia" w:ascii="宋体" w:hAnsi="宋体" w:eastAsia="宋体" w:cs="宋体"/>
                <w:caps w:val="0"/>
                <w:color w:val="000000"/>
                <w:spacing w:val="0"/>
                <w:sz w:val="14"/>
                <w:szCs w:val="14"/>
              </w:rPr>
              <w:t>的表现。因此，政策收紧也是</w:t>
            </w:r>
            <w:r>
              <w:rPr>
                <w:rFonts w:hint="eastAsia" w:ascii="宋体" w:hAnsi="宋体" w:eastAsia="宋体" w:cs="宋体"/>
                <w:b/>
                <w:caps w:val="0"/>
                <w:color w:val="000000"/>
                <w:spacing w:val="0"/>
                <w:sz w:val="14"/>
                <w:szCs w:val="14"/>
              </w:rPr>
              <w:t>为了防范金融风险，尤其是防止地产行业泡沫的出现；从房企定向增发的主要用途来看，</w:t>
            </w:r>
            <w:r>
              <w:rPr>
                <w:rFonts w:hint="eastAsia" w:ascii="宋体" w:hAnsi="宋体" w:eastAsia="宋体" w:cs="宋体"/>
                <w:caps w:val="0"/>
                <w:color w:val="000000"/>
                <w:spacing w:val="0"/>
                <w:sz w:val="14"/>
                <w:szCs w:val="14"/>
              </w:rPr>
              <w:t>多数房企定增用于项目开发及偿还借款，再融资收紧，对于那些希望在下半年大规模扩张的房企来说，是一个利空消息，也可能会使部分房企降低姿态，加快推盘来回笼资金。土地市场在经历上半年的疯狂之后，下半年降温是大概率，特别是上半年</w:t>
            </w:r>
            <w:r>
              <w:rPr>
                <w:rFonts w:hint="eastAsia" w:ascii="宋体" w:hAnsi="宋体" w:eastAsia="宋体" w:cs="宋体"/>
                <w:caps w:val="0"/>
                <w:color w:val="000000"/>
                <w:spacing w:val="0"/>
                <w:sz w:val="14"/>
                <w:szCs w:val="14"/>
                <w:lang w:val="en-US"/>
              </w:rPr>
              <w:t>“</w:t>
            </w:r>
            <w:r>
              <w:rPr>
                <w:rFonts w:hint="eastAsia" w:ascii="宋体" w:hAnsi="宋体" w:eastAsia="宋体" w:cs="宋体"/>
                <w:caps w:val="0"/>
                <w:color w:val="000000"/>
                <w:spacing w:val="0"/>
                <w:sz w:val="14"/>
                <w:szCs w:val="14"/>
              </w:rPr>
              <w:t>地王</w:t>
            </w:r>
            <w:r>
              <w:rPr>
                <w:rFonts w:hint="eastAsia" w:ascii="宋体" w:hAnsi="宋体" w:eastAsia="宋体" w:cs="宋体"/>
                <w:caps w:val="0"/>
                <w:color w:val="000000"/>
                <w:spacing w:val="0"/>
                <w:sz w:val="14"/>
                <w:szCs w:val="14"/>
                <w:lang w:val="en-US"/>
              </w:rPr>
              <w:t>”</w:t>
            </w:r>
            <w:r>
              <w:rPr>
                <w:rFonts w:hint="eastAsia" w:ascii="宋体" w:hAnsi="宋体" w:eastAsia="宋体" w:cs="宋体"/>
                <w:caps w:val="0"/>
                <w:color w:val="000000"/>
                <w:spacing w:val="0"/>
                <w:sz w:val="14"/>
                <w:szCs w:val="14"/>
              </w:rPr>
              <w:t>频出的情况不会再出现。</w:t>
            </w:r>
          </w:p>
          <w:p>
            <w:pPr>
              <w:pStyle w:val="4"/>
              <w:keepNext w:val="0"/>
              <w:keepLines w:val="0"/>
              <w:widowControl/>
              <w:suppressLineNumbers w:val="0"/>
              <w:spacing w:line="24" w:lineRule="atLeast"/>
              <w:ind w:left="0" w:firstLine="472"/>
              <w:jc w:val="left"/>
            </w:pPr>
            <w:r>
              <w:rPr>
                <w:rFonts w:hint="eastAsia" w:ascii="宋体" w:hAnsi="宋体" w:eastAsia="宋体" w:cs="宋体"/>
                <w:b/>
                <w:caps w:val="0"/>
                <w:color w:val="000000"/>
                <w:spacing w:val="0"/>
                <w:sz w:val="14"/>
                <w:szCs w:val="14"/>
                <w:lang w:val="en-US"/>
              </w:rPr>
              <w:t>2</w:t>
            </w:r>
            <w:r>
              <w:rPr>
                <w:rFonts w:hint="eastAsia" w:ascii="宋体" w:hAnsi="宋体" w:eastAsia="宋体" w:cs="宋体"/>
                <w:b/>
                <w:caps w:val="0"/>
                <w:color w:val="000000"/>
                <w:spacing w:val="0"/>
                <w:sz w:val="14"/>
                <w:szCs w:val="14"/>
              </w:rPr>
              <w:t>、楼市调控因城施策</w:t>
            </w:r>
            <w:r>
              <w:rPr>
                <w:rFonts w:ascii="serif" w:hAnsi="serif" w:eastAsia="serif" w:cs="serif"/>
                <w:b/>
                <w:caps w:val="0"/>
                <w:color w:val="000000"/>
                <w:spacing w:val="0"/>
                <w:sz w:val="14"/>
                <w:szCs w:val="14"/>
              </w:rPr>
              <w:t> </w:t>
            </w:r>
            <w:r>
              <w:rPr>
                <w:rFonts w:hint="eastAsia" w:ascii="宋体" w:hAnsi="宋体" w:eastAsia="宋体" w:cs="宋体"/>
                <w:b/>
                <w:caps w:val="0"/>
                <w:color w:val="000000"/>
                <w:spacing w:val="0"/>
                <w:sz w:val="14"/>
                <w:szCs w:val="14"/>
              </w:rPr>
              <w:t>防止房价过快上涨</w:t>
            </w:r>
          </w:p>
          <w:p>
            <w:pPr>
              <w:pStyle w:val="4"/>
              <w:keepNext w:val="0"/>
              <w:keepLines w:val="0"/>
              <w:widowControl/>
              <w:suppressLineNumbers w:val="0"/>
              <w:spacing w:line="216" w:lineRule="atLeast"/>
              <w:ind w:left="0" w:firstLine="480"/>
              <w:jc w:val="left"/>
            </w:pPr>
            <w:r>
              <w:rPr>
                <w:rFonts w:hint="eastAsia" w:ascii="宋体" w:hAnsi="宋体" w:eastAsia="宋体" w:cs="宋体"/>
                <w:caps w:val="0"/>
                <w:color w:val="000000"/>
                <w:spacing w:val="0"/>
                <w:sz w:val="14"/>
                <w:szCs w:val="14"/>
                <w:lang w:val="en-US"/>
              </w:rPr>
              <w:t>7</w:t>
            </w:r>
            <w:r>
              <w:rPr>
                <w:rFonts w:hint="eastAsia" w:ascii="宋体" w:hAnsi="宋体" w:eastAsia="宋体" w:cs="宋体"/>
                <w:caps w:val="0"/>
                <w:color w:val="000000"/>
                <w:spacing w:val="0"/>
                <w:sz w:val="14"/>
                <w:szCs w:val="14"/>
              </w:rPr>
              <w:t>月</w:t>
            </w:r>
            <w:r>
              <w:rPr>
                <w:rFonts w:hint="eastAsia" w:ascii="宋体" w:hAnsi="宋体" w:eastAsia="宋体" w:cs="宋体"/>
                <w:caps w:val="0"/>
                <w:color w:val="000000"/>
                <w:spacing w:val="0"/>
                <w:sz w:val="14"/>
                <w:szCs w:val="14"/>
                <w:lang w:val="en-US"/>
              </w:rPr>
              <w:t>14</w:t>
            </w:r>
            <w:r>
              <w:rPr>
                <w:rFonts w:hint="eastAsia" w:ascii="宋体" w:hAnsi="宋体" w:eastAsia="宋体" w:cs="宋体"/>
                <w:caps w:val="0"/>
                <w:color w:val="000000"/>
                <w:spacing w:val="0"/>
                <w:sz w:val="14"/>
                <w:szCs w:val="14"/>
              </w:rPr>
              <w:t>日，国家发改委就宏观经济运行情况举行发布会，透露下半年对楼市的调控将更注重</w:t>
            </w:r>
            <w:r>
              <w:rPr>
                <w:rFonts w:hint="eastAsia" w:ascii="宋体" w:hAnsi="宋体" w:eastAsia="宋体" w:cs="宋体"/>
                <w:b/>
                <w:caps w:val="0"/>
                <w:color w:val="000000"/>
                <w:spacing w:val="0"/>
                <w:sz w:val="14"/>
                <w:szCs w:val="14"/>
              </w:rPr>
              <w:t>因城施策，防止房价持续过快上涨</w:t>
            </w:r>
            <w:r>
              <w:rPr>
                <w:rFonts w:hint="eastAsia" w:ascii="宋体" w:hAnsi="宋体" w:eastAsia="宋体" w:cs="宋体"/>
                <w:caps w:val="0"/>
                <w:color w:val="000000"/>
                <w:spacing w:val="0"/>
                <w:sz w:val="14"/>
                <w:szCs w:val="14"/>
              </w:rPr>
              <w:t>。总体上看，当前房地产市场调控的主基调是去库存。下半年，针对市场分化的情况，有关部门将更注重分类施策、因城施策，促进市场平稳发展。</w:t>
            </w:r>
            <w:r>
              <w:rPr>
                <w:rFonts w:hint="eastAsia" w:ascii="宋体" w:hAnsi="宋体" w:eastAsia="宋体" w:cs="宋体"/>
                <w:b/>
                <w:caps w:val="0"/>
                <w:color w:val="000000"/>
                <w:spacing w:val="0"/>
                <w:sz w:val="14"/>
                <w:szCs w:val="14"/>
              </w:rPr>
              <w:t>对一线及部分二线城市，密切关注其库存下降情况，加大住房供应，合理引导住房消费，防止房价持续过快上涨；对三、四线等商品房库存较大的城市，根据当地市场情况，采取有效措施，化解房地产库存。</w:t>
            </w:r>
            <w:r>
              <w:rPr>
                <w:rFonts w:hint="eastAsia" w:ascii="宋体" w:hAnsi="宋体" w:eastAsia="宋体" w:cs="宋体"/>
                <w:caps w:val="0"/>
                <w:color w:val="000000"/>
                <w:spacing w:val="0"/>
                <w:sz w:val="14"/>
                <w:szCs w:val="14"/>
              </w:rPr>
              <w:t>同时，以满足居民合理住房需求为目标，以解决城镇新居民住房需求为主要出发点，构建以政府为主提供基本保障、以市场为主满足多层次需求的住房供应体系，以建立购租并举的住房制度为主要方向，深化住房制度改革。</w:t>
            </w:r>
          </w:p>
          <w:p>
            <w:pPr>
              <w:pStyle w:val="4"/>
              <w:keepNext w:val="0"/>
              <w:keepLines w:val="0"/>
              <w:widowControl/>
              <w:suppressLineNumbers w:val="0"/>
              <w:spacing w:line="216" w:lineRule="atLeast"/>
              <w:ind w:left="0" w:firstLine="482"/>
              <w:jc w:val="left"/>
            </w:pPr>
            <w:r>
              <w:rPr>
                <w:rFonts w:hint="eastAsia" w:ascii="宋体" w:hAnsi="宋体" w:eastAsia="宋体" w:cs="宋体"/>
                <w:b/>
                <w:caps w:val="0"/>
                <w:color w:val="000000"/>
                <w:spacing w:val="0"/>
                <w:sz w:val="14"/>
                <w:szCs w:val="14"/>
                <w:lang w:val="en-US"/>
              </w:rPr>
              <w:t>3</w:t>
            </w:r>
            <w:r>
              <w:rPr>
                <w:rFonts w:hint="eastAsia" w:ascii="宋体" w:hAnsi="宋体" w:eastAsia="宋体" w:cs="宋体"/>
                <w:b/>
                <w:caps w:val="0"/>
                <w:color w:val="000000"/>
                <w:spacing w:val="0"/>
                <w:sz w:val="14"/>
                <w:szCs w:val="14"/>
              </w:rPr>
              <w:t>、</w:t>
            </w:r>
            <w:r>
              <w:rPr>
                <w:rFonts w:hint="eastAsia" w:ascii="宋体" w:hAnsi="宋体" w:eastAsia="宋体" w:cs="宋体"/>
                <w:b/>
                <w:caps w:val="0"/>
                <w:color w:val="000000"/>
                <w:spacing w:val="0"/>
                <w:sz w:val="14"/>
                <w:szCs w:val="14"/>
                <w:lang w:val="en-US"/>
              </w:rPr>
              <w:t>20</w:t>
            </w:r>
            <w:r>
              <w:rPr>
                <w:rFonts w:hint="eastAsia" w:ascii="宋体" w:hAnsi="宋体" w:eastAsia="宋体" w:cs="宋体"/>
                <w:b/>
                <w:caps w:val="0"/>
                <w:color w:val="000000"/>
                <w:spacing w:val="0"/>
                <w:sz w:val="14"/>
                <w:szCs w:val="14"/>
              </w:rPr>
              <w:t>余省鼓励农民买房去库存 山西支持开发商降价</w:t>
            </w:r>
          </w:p>
          <w:p>
            <w:pPr>
              <w:pStyle w:val="4"/>
              <w:keepNext w:val="0"/>
              <w:keepLines w:val="0"/>
              <w:widowControl/>
              <w:suppressLineNumbers w:val="0"/>
              <w:spacing w:line="216" w:lineRule="atLeast"/>
              <w:ind w:left="0" w:firstLine="480"/>
              <w:jc w:val="left"/>
            </w:pPr>
            <w:r>
              <w:rPr>
                <w:rFonts w:hint="eastAsia" w:ascii="宋体" w:hAnsi="宋体" w:eastAsia="宋体" w:cs="宋体"/>
                <w:caps w:val="0"/>
                <w:color w:val="000000"/>
                <w:spacing w:val="0"/>
                <w:sz w:val="14"/>
                <w:szCs w:val="14"/>
              </w:rPr>
              <w:t>自去年年底中央经济工作会议为房地产</w:t>
            </w:r>
            <w:r>
              <w:rPr>
                <w:rFonts w:hint="eastAsia" w:ascii="宋体" w:hAnsi="宋体" w:eastAsia="宋体" w:cs="宋体"/>
                <w:caps w:val="0"/>
                <w:color w:val="000000"/>
                <w:spacing w:val="0"/>
                <w:sz w:val="14"/>
                <w:szCs w:val="14"/>
                <w:lang w:val="en-US"/>
              </w:rPr>
              <w:t>“</w:t>
            </w:r>
            <w:r>
              <w:rPr>
                <w:rFonts w:hint="eastAsia" w:ascii="宋体" w:hAnsi="宋体" w:eastAsia="宋体" w:cs="宋体"/>
                <w:caps w:val="0"/>
                <w:color w:val="000000"/>
                <w:spacing w:val="0"/>
                <w:sz w:val="14"/>
                <w:szCs w:val="14"/>
              </w:rPr>
              <w:t>去库存</w:t>
            </w:r>
            <w:r>
              <w:rPr>
                <w:rFonts w:hint="eastAsia" w:ascii="宋体" w:hAnsi="宋体" w:eastAsia="宋体" w:cs="宋体"/>
                <w:caps w:val="0"/>
                <w:color w:val="000000"/>
                <w:spacing w:val="0"/>
                <w:sz w:val="14"/>
                <w:szCs w:val="14"/>
                <w:lang w:val="en-US"/>
              </w:rPr>
              <w:t>”</w:t>
            </w:r>
            <w:r>
              <w:rPr>
                <w:rFonts w:hint="eastAsia" w:ascii="宋体" w:hAnsi="宋体" w:eastAsia="宋体" w:cs="宋体"/>
                <w:caps w:val="0"/>
                <w:color w:val="000000"/>
                <w:spacing w:val="0"/>
                <w:sz w:val="14"/>
                <w:szCs w:val="14"/>
              </w:rPr>
              <w:t>定调以来，在</w:t>
            </w:r>
            <w:r>
              <w:rPr>
                <w:rFonts w:hint="eastAsia" w:ascii="宋体" w:hAnsi="宋体" w:eastAsia="宋体" w:cs="宋体"/>
                <w:caps w:val="0"/>
                <w:color w:val="000000"/>
                <w:spacing w:val="0"/>
                <w:sz w:val="14"/>
                <w:szCs w:val="14"/>
                <w:lang w:val="en-US"/>
              </w:rPr>
              <w:t>“</w:t>
            </w:r>
            <w:r>
              <w:rPr>
                <w:rFonts w:hint="eastAsia" w:ascii="宋体" w:hAnsi="宋体" w:eastAsia="宋体" w:cs="宋体"/>
                <w:caps w:val="0"/>
                <w:color w:val="000000"/>
                <w:spacing w:val="0"/>
                <w:sz w:val="14"/>
                <w:szCs w:val="14"/>
              </w:rPr>
              <w:t>因城施策</w:t>
            </w:r>
            <w:r>
              <w:rPr>
                <w:rFonts w:hint="eastAsia" w:ascii="宋体" w:hAnsi="宋体" w:eastAsia="宋体" w:cs="宋体"/>
                <w:caps w:val="0"/>
                <w:color w:val="000000"/>
                <w:spacing w:val="0"/>
                <w:sz w:val="14"/>
                <w:szCs w:val="14"/>
                <w:lang w:val="en-US"/>
              </w:rPr>
              <w:t>”</w:t>
            </w:r>
            <w:r>
              <w:rPr>
                <w:rFonts w:hint="eastAsia" w:ascii="宋体" w:hAnsi="宋体" w:eastAsia="宋体" w:cs="宋体"/>
                <w:caps w:val="0"/>
                <w:color w:val="000000"/>
                <w:spacing w:val="0"/>
                <w:sz w:val="14"/>
                <w:szCs w:val="14"/>
              </w:rPr>
              <w:t>方针下，半年多时间里，已有上海、重庆、江苏、浙江、山东、安徽、海南、山西等</w:t>
            </w:r>
            <w:r>
              <w:rPr>
                <w:rFonts w:hint="eastAsia" w:ascii="宋体" w:hAnsi="宋体" w:eastAsia="宋体" w:cs="宋体"/>
                <w:caps w:val="0"/>
                <w:color w:val="000000"/>
                <w:spacing w:val="0"/>
                <w:sz w:val="14"/>
                <w:szCs w:val="14"/>
                <w:lang w:val="en-US"/>
              </w:rPr>
              <w:t>28</w:t>
            </w:r>
            <w:r>
              <w:rPr>
                <w:rFonts w:hint="eastAsia" w:ascii="宋体" w:hAnsi="宋体" w:eastAsia="宋体" w:cs="宋体"/>
                <w:caps w:val="0"/>
                <w:color w:val="000000"/>
                <w:spacing w:val="0"/>
                <w:sz w:val="14"/>
                <w:szCs w:val="14"/>
              </w:rPr>
              <w:t>个省区市开出去库存</w:t>
            </w:r>
            <w:r>
              <w:rPr>
                <w:rFonts w:hint="eastAsia" w:ascii="宋体" w:hAnsi="宋体" w:eastAsia="宋体" w:cs="宋体"/>
                <w:caps w:val="0"/>
                <w:color w:val="000000"/>
                <w:spacing w:val="0"/>
                <w:sz w:val="14"/>
                <w:szCs w:val="14"/>
                <w:lang w:val="en-US"/>
              </w:rPr>
              <w:t>“</w:t>
            </w:r>
            <w:r>
              <w:rPr>
                <w:rFonts w:hint="eastAsia" w:ascii="宋体" w:hAnsi="宋体" w:eastAsia="宋体" w:cs="宋体"/>
                <w:caps w:val="0"/>
                <w:color w:val="000000"/>
                <w:spacing w:val="0"/>
                <w:sz w:val="14"/>
                <w:szCs w:val="14"/>
              </w:rPr>
              <w:t>药方</w:t>
            </w:r>
            <w:r>
              <w:rPr>
                <w:rFonts w:hint="eastAsia" w:ascii="宋体" w:hAnsi="宋体" w:eastAsia="宋体" w:cs="宋体"/>
                <w:caps w:val="0"/>
                <w:color w:val="000000"/>
                <w:spacing w:val="0"/>
                <w:sz w:val="14"/>
                <w:szCs w:val="14"/>
                <w:lang w:val="en-US"/>
              </w:rPr>
              <w:t>”</w:t>
            </w:r>
            <w:r>
              <w:rPr>
                <w:rFonts w:hint="eastAsia" w:ascii="宋体" w:hAnsi="宋体" w:eastAsia="宋体" w:cs="宋体"/>
                <w:caps w:val="0"/>
                <w:color w:val="000000"/>
                <w:spacing w:val="0"/>
                <w:sz w:val="14"/>
                <w:szCs w:val="14"/>
              </w:rPr>
              <w:t>。供需两侧同时发力是各地去库存方案的总体思路。为释放买房人需求，各地通过减免税费、降低首付比例、调低房贷利率、放宽公积金政策等举措让消费者获得更多实惠。虽方式、力度有所区别，但</w:t>
            </w:r>
            <w:r>
              <w:rPr>
                <w:rFonts w:hint="eastAsia" w:ascii="宋体" w:hAnsi="宋体" w:eastAsia="宋体" w:cs="宋体"/>
                <w:b/>
                <w:caps w:val="0"/>
                <w:color w:val="000000"/>
                <w:spacing w:val="0"/>
                <w:sz w:val="14"/>
                <w:szCs w:val="14"/>
              </w:rPr>
              <w:t>鼓励农民进城买房几乎成了各地去库存的</w:t>
            </w:r>
            <w:r>
              <w:rPr>
                <w:rFonts w:hint="eastAsia" w:ascii="宋体" w:hAnsi="宋体" w:eastAsia="宋体" w:cs="宋体"/>
                <w:b/>
                <w:caps w:val="0"/>
                <w:color w:val="000000"/>
                <w:spacing w:val="0"/>
                <w:sz w:val="14"/>
                <w:szCs w:val="14"/>
                <w:lang w:val="en-US"/>
              </w:rPr>
              <w:t>“</w:t>
            </w:r>
            <w:r>
              <w:rPr>
                <w:rFonts w:hint="eastAsia" w:ascii="宋体" w:hAnsi="宋体" w:eastAsia="宋体" w:cs="宋体"/>
                <w:b/>
                <w:caps w:val="0"/>
                <w:color w:val="000000"/>
                <w:spacing w:val="0"/>
                <w:sz w:val="14"/>
                <w:szCs w:val="14"/>
              </w:rPr>
              <w:t>标配</w:t>
            </w:r>
            <w:r>
              <w:rPr>
                <w:rFonts w:hint="eastAsia" w:ascii="宋体" w:hAnsi="宋体" w:eastAsia="宋体" w:cs="宋体"/>
                <w:b/>
                <w:caps w:val="0"/>
                <w:color w:val="000000"/>
                <w:spacing w:val="0"/>
                <w:sz w:val="14"/>
                <w:szCs w:val="14"/>
                <w:lang w:val="en-US"/>
              </w:rPr>
              <w:t>”</w:t>
            </w:r>
            <w:r>
              <w:rPr>
                <w:rFonts w:hint="eastAsia" w:ascii="宋体" w:hAnsi="宋体" w:eastAsia="宋体" w:cs="宋体"/>
                <w:caps w:val="0"/>
                <w:color w:val="000000"/>
                <w:spacing w:val="0"/>
                <w:sz w:val="14"/>
                <w:szCs w:val="14"/>
              </w:rPr>
              <w:t>。</w:t>
            </w:r>
            <w:r>
              <w:rPr>
                <w:rFonts w:hint="default" w:ascii="serif" w:hAnsi="serif" w:eastAsia="serif" w:cs="serif"/>
                <w:caps w:val="0"/>
                <w:color w:val="000000"/>
                <w:spacing w:val="0"/>
                <w:sz w:val="23"/>
                <w:szCs w:val="23"/>
              </w:rPr>
              <w:t> </w:t>
            </w:r>
            <w:r>
              <w:rPr>
                <w:rFonts w:hint="eastAsia" w:ascii="宋体" w:hAnsi="宋体" w:eastAsia="宋体" w:cs="宋体"/>
                <w:caps w:val="0"/>
                <w:color w:val="000000"/>
                <w:spacing w:val="0"/>
                <w:sz w:val="14"/>
                <w:szCs w:val="14"/>
              </w:rPr>
              <w:t>鼓励农民进城买房可以在一定程度上促进三四线城市房地产去库存，但有不少难点需要突破，如：买房时如何按揭贷款，买房后农民是否在城市就业，城市能否提供更多就业机会和培训机会等。明确提出鼓励开发商降价的地方不多，山西目前是唯一一例，对带头落实国家政策降低房价的开发商给予奖励，并协调金融机构在融资和相关金融服务方面给予一定的支持。</w:t>
            </w:r>
          </w:p>
          <w:p>
            <w:pPr>
              <w:pStyle w:val="4"/>
              <w:keepNext w:val="0"/>
              <w:keepLines w:val="0"/>
              <w:widowControl/>
              <w:suppressLineNumbers w:val="0"/>
              <w:spacing w:line="216" w:lineRule="atLeast"/>
              <w:ind w:left="0" w:firstLine="482"/>
              <w:jc w:val="center"/>
            </w:pPr>
            <w:r>
              <w:rPr>
                <w:rFonts w:hint="eastAsia" w:ascii="宋体" w:hAnsi="宋体" w:eastAsia="宋体" w:cs="宋体"/>
                <w:b/>
                <w:caps w:val="0"/>
                <w:color w:val="000000"/>
                <w:spacing w:val="0"/>
                <w:sz w:val="14"/>
                <w:szCs w:val="14"/>
                <w:lang w:val="en-US"/>
              </w:rPr>
              <w:t> </w:t>
            </w:r>
            <w:r>
              <w:rPr>
                <w:rFonts w:hint="eastAsia" w:ascii="宋体" w:hAnsi="宋体" w:eastAsia="宋体" w:cs="宋体"/>
                <w:b/>
                <w:caps w:val="0"/>
                <w:color w:val="000000"/>
                <w:spacing w:val="0"/>
                <w:sz w:val="14"/>
                <w:szCs w:val="14"/>
                <w:lang w:val="en-US"/>
              </w:rPr>
              <w:drawing>
                <wp:inline distT="0" distB="0" distL="114300" distR="114300">
                  <wp:extent cx="2857500" cy="2438400"/>
                  <wp:effectExtent l="0" t="0" r="7620" b="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4"/>
                          <a:stretch>
                            <a:fillRect/>
                          </a:stretch>
                        </pic:blipFill>
                        <pic:spPr>
                          <a:xfrm>
                            <a:off x="0" y="0"/>
                            <a:ext cx="2857500" cy="2438400"/>
                          </a:xfrm>
                          <a:prstGeom prst="rect">
                            <a:avLst/>
                          </a:prstGeom>
                          <a:noFill/>
                          <a:ln w="9525">
                            <a:noFill/>
                          </a:ln>
                        </pic:spPr>
                      </pic:pic>
                    </a:graphicData>
                  </a:graphic>
                </wp:inline>
              </w:drawing>
            </w:r>
            <w:r>
              <w:rPr>
                <w:rFonts w:hint="eastAsia" w:ascii="宋体" w:hAnsi="宋体" w:eastAsia="宋体" w:cs="宋体"/>
                <w:b/>
                <w:caps w:val="0"/>
                <w:color w:val="000000"/>
                <w:spacing w:val="0"/>
                <w:sz w:val="14"/>
                <w:szCs w:val="14"/>
                <w:lang w:val="en-US"/>
              </w:rPr>
              <w:t> </w:t>
            </w:r>
            <w:r>
              <w:rPr>
                <w:rFonts w:hint="eastAsia" w:ascii="宋体" w:hAnsi="宋体" w:eastAsia="宋体" w:cs="宋体"/>
                <w:b/>
                <w:caps w:val="0"/>
                <w:color w:val="000000"/>
                <w:spacing w:val="0"/>
                <w:sz w:val="14"/>
                <w:szCs w:val="14"/>
                <w:lang w:val="en-US"/>
              </w:rPr>
              <w:drawing>
                <wp:inline distT="0" distB="0" distL="114300" distR="114300">
                  <wp:extent cx="2724150" cy="2219325"/>
                  <wp:effectExtent l="0" t="0" r="3810" b="5715"/>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2724150" cy="2219325"/>
                          </a:xfrm>
                          <a:prstGeom prst="rect">
                            <a:avLst/>
                          </a:prstGeom>
                          <a:noFill/>
                          <a:ln w="9525">
                            <a:noFill/>
                          </a:ln>
                        </pic:spPr>
                      </pic:pic>
                    </a:graphicData>
                  </a:graphic>
                </wp:inline>
              </w:drawing>
            </w:r>
          </w:p>
          <w:p>
            <w:pPr>
              <w:pStyle w:val="4"/>
              <w:keepNext w:val="0"/>
              <w:keepLines w:val="0"/>
              <w:widowControl/>
              <w:suppressLineNumbers w:val="0"/>
              <w:spacing w:line="216" w:lineRule="atLeast"/>
              <w:ind w:left="0" w:firstLine="482"/>
              <w:jc w:val="left"/>
            </w:pPr>
            <w:r>
              <w:rPr>
                <w:rFonts w:hint="eastAsia" w:ascii="宋体" w:hAnsi="宋体" w:eastAsia="宋体" w:cs="宋体"/>
                <w:b/>
                <w:caps w:val="0"/>
                <w:color w:val="000000"/>
                <w:spacing w:val="0"/>
                <w:sz w:val="14"/>
                <w:szCs w:val="14"/>
              </w:rPr>
              <w:t>政策解析：总体上看，当前房地产市场调控的主基调仍是去库存。</w:t>
            </w:r>
            <w:r>
              <w:rPr>
                <w:rFonts w:hint="eastAsia" w:ascii="宋体" w:hAnsi="宋体" w:eastAsia="宋体" w:cs="宋体"/>
                <w:caps w:val="0"/>
                <w:color w:val="000000"/>
                <w:spacing w:val="0"/>
                <w:sz w:val="14"/>
                <w:szCs w:val="14"/>
              </w:rPr>
              <w:t>再融资收紧，可能会使部分房企降低姿态，加快推盘来回笼资金。因城施策，对一线及部分二线城市，密切关注其库存下降情况，加大供应，防止房价快速上涨；对三四线商品房库存较大城市，采取有效措施化解房地产库存。鼓励农民进城买房几乎成了各地去库存的“标配”。</w:t>
            </w:r>
          </w:p>
          <w:p>
            <w:pPr>
              <w:pStyle w:val="4"/>
              <w:keepNext w:val="0"/>
              <w:keepLines w:val="0"/>
              <w:widowControl/>
              <w:suppressLineNumbers w:val="0"/>
              <w:spacing w:line="216" w:lineRule="atLeast"/>
              <w:ind w:left="0" w:firstLine="482"/>
              <w:jc w:val="left"/>
            </w:pPr>
            <w:r>
              <w:rPr>
                <w:rFonts w:hint="eastAsia" w:ascii="宋体" w:hAnsi="宋体" w:eastAsia="宋体" w:cs="宋体"/>
                <w:caps w:val="0"/>
                <w:spacing w:val="0"/>
                <w:sz w:val="14"/>
                <w:szCs w:val="14"/>
              </w:rPr>
              <w:t> </w:t>
            </w:r>
          </w:p>
          <w:p>
            <w:pPr>
              <w:keepNext w:val="0"/>
              <w:keepLines w:val="0"/>
              <w:widowControl/>
              <w:suppressLineNumbers w:val="0"/>
              <w:spacing w:line="24" w:lineRule="atLeast"/>
              <w:ind w:left="0" w:firstLine="0"/>
              <w:jc w:val="center"/>
              <w:rPr>
                <w:rFonts w:hint="eastAsia" w:ascii="宋体" w:hAnsi="宋体" w:eastAsia="宋体" w:cs="宋体"/>
                <w:caps w:val="0"/>
                <w:color w:val="000000"/>
                <w:spacing w:val="0"/>
                <w:sz w:val="14"/>
                <w:szCs w:val="14"/>
              </w:rPr>
            </w:pPr>
            <w:r>
              <w:rPr>
                <w:rFonts w:hint="eastAsia" w:ascii="宋体" w:hAnsi="宋体" w:eastAsia="宋体" w:cs="宋体"/>
                <w:b/>
                <w:caps w:val="0"/>
                <w:color w:val="000000"/>
                <w:spacing w:val="0"/>
                <w:kern w:val="0"/>
                <w:sz w:val="24"/>
                <w:szCs w:val="24"/>
                <w:lang w:val="en-US" w:eastAsia="zh-CN" w:bidi="ar"/>
              </w:rPr>
              <w:t>二、楼市发展趋势分析</w:t>
            </w:r>
          </w:p>
          <w:p>
            <w:pPr>
              <w:keepNext w:val="0"/>
              <w:keepLines w:val="0"/>
              <w:widowControl/>
              <w:suppressLineNumbers w:val="0"/>
              <w:spacing w:line="24" w:lineRule="atLeast"/>
              <w:ind w:left="0" w:firstLine="0"/>
              <w:jc w:val="center"/>
              <w:rPr>
                <w:rFonts w:hint="eastAsia" w:ascii="宋体" w:hAnsi="宋体" w:eastAsia="宋体" w:cs="宋体"/>
                <w:caps w:val="0"/>
                <w:color w:val="000000"/>
                <w:spacing w:val="0"/>
                <w:sz w:val="14"/>
                <w:szCs w:val="14"/>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rPr>
            </w:pPr>
            <w:r>
              <w:rPr>
                <w:rFonts w:hint="eastAsia" w:ascii="宋体" w:hAnsi="宋体" w:eastAsia="宋体" w:cs="宋体"/>
                <w:b/>
                <w:caps w:val="0"/>
                <w:color w:val="000000"/>
                <w:spacing w:val="0"/>
                <w:kern w:val="0"/>
                <w:sz w:val="14"/>
                <w:szCs w:val="14"/>
                <w:lang w:val="en-US" w:eastAsia="zh-CN" w:bidi="ar"/>
              </w:rPr>
              <w:t>土地状况：</w:t>
            </w:r>
          </w:p>
          <w:tbl>
            <w:tblPr>
              <w:tblW w:w="7656" w:type="dxa"/>
              <w:jc w:val="center"/>
              <w:tblCellSpacing w:w="0" w:type="dxa"/>
              <w:tblInd w:w="318"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
            <w:tblGrid>
              <w:gridCol w:w="1276"/>
              <w:gridCol w:w="1276"/>
              <w:gridCol w:w="1276"/>
              <w:gridCol w:w="1276"/>
              <w:gridCol w:w="1276"/>
              <w:gridCol w:w="1276"/>
            </w:tblGrid>
            <w:tr>
              <w:tblPrEx>
                <w:tblLayout w:type="fixed"/>
                <w:tblCellMar>
                  <w:top w:w="0" w:type="dxa"/>
                  <w:left w:w="0" w:type="dxa"/>
                  <w:bottom w:w="0" w:type="dxa"/>
                  <w:right w:w="0" w:type="dxa"/>
                </w:tblCellMar>
              </w:tblPrEx>
              <w:trPr>
                <w:tblCellSpacing w:w="0" w:type="dxa"/>
                <w:jc w:val="center"/>
              </w:trPr>
              <w:tc>
                <w:tcPr>
                  <w:tcW w:w="1276" w:type="dxa"/>
                  <w:vMerge w:val="restart"/>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b/>
                      <w:kern w:val="0"/>
                      <w:sz w:val="14"/>
                      <w:szCs w:val="14"/>
                      <w:lang w:val="en-US" w:eastAsia="zh-CN" w:bidi="ar"/>
                    </w:rPr>
                    <w:t>指标</w:t>
                  </w: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b/>
                      <w:kern w:val="0"/>
                      <w:sz w:val="14"/>
                      <w:szCs w:val="14"/>
                      <w:lang w:val="en-US" w:eastAsia="zh-CN" w:bidi="ar"/>
                    </w:rPr>
                    <w:t>推出面积</w:t>
                  </w: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b/>
                      <w:kern w:val="0"/>
                      <w:sz w:val="14"/>
                      <w:szCs w:val="14"/>
                      <w:lang w:val="en-US" w:eastAsia="zh-CN" w:bidi="ar"/>
                    </w:rPr>
                    <w:t>成交面积</w:t>
                  </w: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b/>
                      <w:kern w:val="0"/>
                      <w:sz w:val="14"/>
                      <w:szCs w:val="14"/>
                      <w:lang w:val="en-US" w:eastAsia="zh-CN" w:bidi="ar"/>
                    </w:rPr>
                    <w:t>出让金</w:t>
                  </w: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b/>
                      <w:kern w:val="0"/>
                      <w:sz w:val="14"/>
                      <w:szCs w:val="14"/>
                      <w:lang w:val="en-US" w:eastAsia="zh-CN" w:bidi="ar"/>
                    </w:rPr>
                    <w:t>楼面均价</w:t>
                  </w:r>
                </w:p>
              </w:tc>
              <w:tc>
                <w:tcPr>
                  <w:tcW w:w="1276" w:type="dxa"/>
                  <w:vMerge w:val="restart"/>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b/>
                      <w:kern w:val="0"/>
                      <w:sz w:val="14"/>
                      <w:szCs w:val="14"/>
                      <w:lang w:val="en-US" w:eastAsia="zh-CN" w:bidi="ar"/>
                    </w:rPr>
                    <w:t>溢价率</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1276" w:type="dxa"/>
                  <w:vMerge w:val="continue"/>
                  <w:shd w:val="clear"/>
                  <w:vAlign w:val="center"/>
                </w:tcPr>
                <w:p>
                  <w:pPr>
                    <w:rPr>
                      <w:rFonts w:hint="eastAsia" w:ascii="宋体" w:hAnsi="宋体" w:eastAsia="宋体" w:cs="宋体"/>
                      <w:sz w:val="14"/>
                      <w:szCs w:val="14"/>
                    </w:rPr>
                  </w:pP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b/>
                      <w:kern w:val="0"/>
                      <w:sz w:val="14"/>
                      <w:szCs w:val="14"/>
                      <w:lang w:val="en-US" w:eastAsia="zh-CN" w:bidi="ar"/>
                    </w:rPr>
                    <w:t>(万平方米)</w:t>
                  </w: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b/>
                      <w:kern w:val="0"/>
                      <w:sz w:val="14"/>
                      <w:szCs w:val="14"/>
                      <w:lang w:val="en-US" w:eastAsia="zh-CN" w:bidi="ar"/>
                    </w:rPr>
                    <w:t>(万平方米)</w:t>
                  </w: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b/>
                      <w:kern w:val="0"/>
                      <w:sz w:val="14"/>
                      <w:szCs w:val="14"/>
                      <w:lang w:val="en-US" w:eastAsia="zh-CN" w:bidi="ar"/>
                    </w:rPr>
                    <w:t>(亿元)</w:t>
                  </w: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b/>
                      <w:kern w:val="0"/>
                      <w:sz w:val="14"/>
                      <w:szCs w:val="14"/>
                      <w:lang w:val="en-US" w:eastAsia="zh-CN" w:bidi="ar"/>
                    </w:rPr>
                    <w:t>(元/平方米)</w:t>
                  </w:r>
                </w:p>
              </w:tc>
              <w:tc>
                <w:tcPr>
                  <w:tcW w:w="1276" w:type="dxa"/>
                  <w:vMerge w:val="continue"/>
                  <w:shd w:val="clear"/>
                  <w:vAlign w:val="center"/>
                </w:tcPr>
                <w:p>
                  <w:pPr>
                    <w:rPr>
                      <w:rFonts w:hint="eastAsia" w:ascii="宋体" w:hAnsi="宋体" w:eastAsia="宋体" w:cs="宋体"/>
                      <w:sz w:val="14"/>
                      <w:szCs w:val="1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b/>
                      <w:kern w:val="0"/>
                      <w:sz w:val="14"/>
                      <w:szCs w:val="14"/>
                      <w:lang w:val="en-US" w:eastAsia="zh-CN" w:bidi="ar"/>
                    </w:rPr>
                    <w:t>绝对量</w:t>
                  </w: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kern w:val="0"/>
                      <w:sz w:val="14"/>
                      <w:szCs w:val="14"/>
                      <w:lang w:val="en-US" w:eastAsia="zh-CN" w:bidi="ar"/>
                    </w:rPr>
                    <w:t>7347</w:t>
                  </w: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kern w:val="0"/>
                      <w:sz w:val="14"/>
                      <w:szCs w:val="14"/>
                      <w:lang w:val="en-US" w:eastAsia="zh-CN" w:bidi="ar"/>
                    </w:rPr>
                    <w:t>5958</w:t>
                  </w: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kern w:val="0"/>
                      <w:sz w:val="14"/>
                      <w:szCs w:val="14"/>
                      <w:lang w:val="en-US" w:eastAsia="zh-CN" w:bidi="ar"/>
                    </w:rPr>
                    <w:t>2057</w:t>
                  </w: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kern w:val="0"/>
                      <w:sz w:val="14"/>
                      <w:szCs w:val="14"/>
                      <w:lang w:val="en-US" w:eastAsia="zh-CN" w:bidi="ar"/>
                    </w:rPr>
                    <w:t>2001</w:t>
                  </w: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kern w:val="0"/>
                      <w:sz w:val="14"/>
                      <w:szCs w:val="14"/>
                      <w:lang w:val="en-US" w:eastAsia="zh-CN" w:bidi="ar"/>
                    </w:rPr>
                    <w:t>46%</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b/>
                      <w:kern w:val="0"/>
                      <w:sz w:val="14"/>
                      <w:szCs w:val="14"/>
                      <w:lang w:val="en-US" w:eastAsia="zh-CN" w:bidi="ar"/>
                    </w:rPr>
                    <w:t>环比</w:t>
                  </w: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kern w:val="0"/>
                      <w:sz w:val="14"/>
                      <w:szCs w:val="14"/>
                      <w:lang w:val="en-US" w:eastAsia="zh-CN" w:bidi="ar"/>
                    </w:rPr>
                    <w:t>-30%</w:t>
                  </w: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kern w:val="0"/>
                      <w:sz w:val="14"/>
                      <w:szCs w:val="14"/>
                      <w:lang w:val="en-US" w:eastAsia="zh-CN" w:bidi="ar"/>
                    </w:rPr>
                    <w:t>-25%</w:t>
                  </w: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kern w:val="0"/>
                      <w:sz w:val="14"/>
                      <w:szCs w:val="14"/>
                      <w:lang w:val="en-US" w:eastAsia="zh-CN" w:bidi="ar"/>
                    </w:rPr>
                    <w:t>-15%</w:t>
                  </w: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kern w:val="0"/>
                      <w:sz w:val="14"/>
                      <w:szCs w:val="14"/>
                      <w:lang w:val="en-US" w:eastAsia="zh-CN" w:bidi="ar"/>
                    </w:rPr>
                    <w:t>9%</w:t>
                  </w: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kern w:val="0"/>
                      <w:sz w:val="14"/>
                      <w:szCs w:val="14"/>
                      <w:lang w:val="en-US" w:eastAsia="zh-CN" w:bidi="ar"/>
                    </w:rPr>
                    <w:t>-13%</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b/>
                      <w:kern w:val="0"/>
                      <w:sz w:val="14"/>
                      <w:szCs w:val="14"/>
                      <w:lang w:val="en-US" w:eastAsia="zh-CN" w:bidi="ar"/>
                    </w:rPr>
                    <w:t>同比</w:t>
                  </w: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kern w:val="0"/>
                      <w:sz w:val="14"/>
                      <w:szCs w:val="14"/>
                      <w:lang w:val="en-US" w:eastAsia="zh-CN" w:bidi="ar"/>
                    </w:rPr>
                    <w:t>-19%</w:t>
                  </w: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kern w:val="0"/>
                      <w:sz w:val="14"/>
                      <w:szCs w:val="14"/>
                      <w:lang w:val="en-US" w:eastAsia="zh-CN" w:bidi="ar"/>
                    </w:rPr>
                    <w:t>-23%</w:t>
                  </w: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kern w:val="0"/>
                      <w:sz w:val="14"/>
                      <w:szCs w:val="14"/>
                      <w:lang w:val="en-US" w:eastAsia="zh-CN" w:bidi="ar"/>
                    </w:rPr>
                    <w:t>25%</w:t>
                  </w: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kern w:val="0"/>
                      <w:sz w:val="14"/>
                      <w:szCs w:val="14"/>
                      <w:lang w:val="en-US" w:eastAsia="zh-CN" w:bidi="ar"/>
                    </w:rPr>
                    <w:t>66%</w:t>
                  </w: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kern w:val="0"/>
                      <w:sz w:val="14"/>
                      <w:szCs w:val="14"/>
                      <w:lang w:val="en-US" w:eastAsia="zh-CN" w:bidi="ar"/>
                    </w:rPr>
                    <w:t>27%</w:t>
                  </w:r>
                </w:p>
              </w:tc>
            </w:tr>
          </w:tbl>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rPr>
            </w:pPr>
            <w:r>
              <w:rPr>
                <w:rFonts w:hint="eastAsia" w:ascii="宋体" w:hAnsi="宋体" w:eastAsia="宋体" w:cs="宋体"/>
                <w:b/>
                <w:caps w:val="0"/>
                <w:color w:val="000000"/>
                <w:spacing w:val="0"/>
                <w:kern w:val="0"/>
                <w:sz w:val="14"/>
                <w:szCs w:val="14"/>
                <w:lang w:val="en-US" w:eastAsia="zh-CN" w:bidi="ar"/>
              </w:rPr>
              <w:t>◇供应情况：主要城市供地总量回落，同比降幅近两成，一线城市供地仍偏低。</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rPr>
            </w:pPr>
            <w:r>
              <w:rPr>
                <w:rFonts w:hint="eastAsia" w:ascii="宋体" w:hAnsi="宋体" w:eastAsia="宋体" w:cs="宋体"/>
                <w:caps w:val="0"/>
                <w:color w:val="000000"/>
                <w:spacing w:val="0"/>
                <w:kern w:val="0"/>
                <w:sz w:val="14"/>
                <w:szCs w:val="14"/>
                <w:lang w:val="en-US" w:eastAsia="zh-CN" w:bidi="ar"/>
              </w:rPr>
              <w:t>2016年7月，全国300个城市共推出土地2083宗，</w:t>
            </w:r>
            <w:r>
              <w:rPr>
                <w:rFonts w:hint="eastAsia" w:ascii="宋体" w:hAnsi="宋体" w:eastAsia="宋体" w:cs="宋体"/>
                <w:b/>
                <w:caps w:val="0"/>
                <w:color w:val="000000"/>
                <w:spacing w:val="0"/>
                <w:kern w:val="0"/>
                <w:sz w:val="14"/>
                <w:szCs w:val="14"/>
                <w:lang w:val="en-US" w:eastAsia="zh-CN" w:bidi="ar"/>
              </w:rPr>
              <w:t>推出土地面积7347万平方米，环比减少30%，同比减少19%。</w:t>
            </w:r>
            <w:r>
              <w:rPr>
                <w:rFonts w:hint="eastAsia" w:ascii="宋体" w:hAnsi="宋体" w:eastAsia="宋体" w:cs="宋体"/>
                <w:caps w:val="0"/>
                <w:color w:val="000000"/>
                <w:spacing w:val="0"/>
                <w:kern w:val="0"/>
                <w:sz w:val="14"/>
                <w:szCs w:val="14"/>
                <w:lang w:val="en-US" w:eastAsia="zh-CN" w:bidi="ar"/>
              </w:rPr>
              <w:t>其中，住宅类用地（含住宅用地及包含住宅用地的综合性用地）530宗，推出土地面积2154万平方米，环比减少27%，同比减少19%。</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rPr>
            </w:pPr>
            <w:r>
              <w:rPr>
                <w:rFonts w:hint="eastAsia" w:ascii="宋体" w:hAnsi="宋体" w:eastAsia="宋体" w:cs="宋体"/>
                <w:b/>
                <w:caps w:val="0"/>
                <w:color w:val="000000"/>
                <w:spacing w:val="0"/>
                <w:kern w:val="0"/>
                <w:sz w:val="14"/>
                <w:szCs w:val="14"/>
                <w:lang w:val="en-US" w:eastAsia="zh-CN" w:bidi="ar"/>
              </w:rPr>
              <w:t>◇成交情况：成交总量同环比双降，一线城市上涨，二三线城市均下滑。</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rPr>
            </w:pPr>
            <w:r>
              <w:rPr>
                <w:rFonts w:hint="eastAsia" w:ascii="宋体" w:hAnsi="宋体" w:eastAsia="宋体" w:cs="宋体"/>
                <w:caps w:val="0"/>
                <w:color w:val="000000"/>
                <w:spacing w:val="0"/>
                <w:kern w:val="0"/>
                <w:sz w:val="14"/>
                <w:szCs w:val="14"/>
                <w:lang w:val="en-US" w:eastAsia="zh-CN" w:bidi="ar"/>
              </w:rPr>
              <w:t>2016年7月，全国300个城市共成交土地1573宗，</w:t>
            </w:r>
            <w:r>
              <w:rPr>
                <w:rFonts w:hint="eastAsia" w:ascii="宋体" w:hAnsi="宋体" w:eastAsia="宋体" w:cs="宋体"/>
                <w:b/>
                <w:caps w:val="0"/>
                <w:color w:val="000000"/>
                <w:spacing w:val="0"/>
                <w:kern w:val="0"/>
                <w:sz w:val="14"/>
                <w:szCs w:val="14"/>
                <w:lang w:val="en-US" w:eastAsia="zh-CN" w:bidi="ar"/>
              </w:rPr>
              <w:t>成交面积5958万平方米，环比减少25%，同比减少23%。</w:t>
            </w:r>
            <w:r>
              <w:rPr>
                <w:rFonts w:hint="eastAsia" w:ascii="宋体" w:hAnsi="宋体" w:eastAsia="宋体" w:cs="宋体"/>
                <w:caps w:val="0"/>
                <w:color w:val="000000"/>
                <w:spacing w:val="0"/>
                <w:kern w:val="0"/>
                <w:sz w:val="14"/>
                <w:szCs w:val="14"/>
                <w:lang w:val="en-US" w:eastAsia="zh-CN" w:bidi="ar"/>
              </w:rPr>
              <w:t>其中，住宅类用地（含住宅用地及包含住宅用地的综合性用地）432宗，成交面积1923万平方米，环比减少15%，同比减少9%。</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rPr>
            </w:pPr>
            <w:r>
              <w:rPr>
                <w:rFonts w:hint="eastAsia" w:ascii="宋体" w:hAnsi="宋体" w:eastAsia="宋体" w:cs="宋体"/>
                <w:b/>
                <w:caps w:val="0"/>
                <w:color w:val="000000"/>
                <w:spacing w:val="0"/>
                <w:kern w:val="0"/>
                <w:sz w:val="14"/>
                <w:szCs w:val="14"/>
                <w:lang w:val="en-US" w:eastAsia="zh-CN" w:bidi="ar"/>
              </w:rPr>
              <w:t>◇楼面均价：主要城市楼面均价同环比上涨，长三角区域及中西部重点城市高价地频出。</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rPr>
            </w:pPr>
            <w:r>
              <w:rPr>
                <w:rFonts w:hint="eastAsia" w:ascii="宋体" w:hAnsi="宋体" w:eastAsia="宋体" w:cs="宋体"/>
                <w:caps w:val="0"/>
                <w:color w:val="000000"/>
                <w:spacing w:val="0"/>
                <w:kern w:val="0"/>
                <w:sz w:val="14"/>
                <w:szCs w:val="14"/>
                <w:lang w:val="en-US" w:eastAsia="zh-CN" w:bidi="ar"/>
              </w:rPr>
              <w:t>2016年7月，全国300个城市成交楼面均价为2001元/平方米，</w:t>
            </w:r>
            <w:r>
              <w:rPr>
                <w:rFonts w:hint="eastAsia" w:ascii="宋体" w:hAnsi="宋体" w:eastAsia="宋体" w:cs="宋体"/>
                <w:b/>
                <w:caps w:val="0"/>
                <w:color w:val="000000"/>
                <w:spacing w:val="0"/>
                <w:kern w:val="0"/>
                <w:sz w:val="14"/>
                <w:szCs w:val="14"/>
                <w:lang w:val="en-US" w:eastAsia="zh-CN" w:bidi="ar"/>
              </w:rPr>
              <w:t>环比上涨9%，同比上涨66%，</w:t>
            </w:r>
            <w:r>
              <w:rPr>
                <w:rFonts w:hint="eastAsia" w:ascii="宋体" w:hAnsi="宋体" w:eastAsia="宋体" w:cs="宋体"/>
                <w:caps w:val="0"/>
                <w:color w:val="000000"/>
                <w:spacing w:val="0"/>
                <w:kern w:val="0"/>
                <w:sz w:val="14"/>
                <w:szCs w:val="14"/>
                <w:lang w:val="en-US" w:eastAsia="zh-CN" w:bidi="ar"/>
              </w:rPr>
              <w:t>其中住宅类用地（含住宅用地及包含住宅用地的综合性用地）成交楼面均价为3502元/平方米，环比下跌3%，同比上涨57%。</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rPr>
            </w:pPr>
            <w:r>
              <w:rPr>
                <w:rFonts w:hint="eastAsia" w:ascii="宋体" w:hAnsi="宋体" w:eastAsia="宋体" w:cs="宋体"/>
                <w:b/>
                <w:caps w:val="0"/>
                <w:color w:val="000000"/>
                <w:spacing w:val="0"/>
                <w:kern w:val="0"/>
                <w:sz w:val="14"/>
                <w:szCs w:val="14"/>
                <w:lang w:val="en-US" w:eastAsia="zh-CN" w:bidi="ar"/>
              </w:rPr>
              <w:t>房价情况：</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rPr>
            </w:pPr>
            <w:r>
              <w:rPr>
                <w:rFonts w:hint="eastAsia" w:ascii="宋体" w:hAnsi="宋体" w:eastAsia="宋体" w:cs="宋体"/>
                <w:caps w:val="0"/>
                <w:color w:val="000000"/>
                <w:spacing w:val="0"/>
                <w:kern w:val="0"/>
                <w:sz w:val="14"/>
                <w:szCs w:val="14"/>
                <w:lang w:val="en-US" w:eastAsia="zh-CN" w:bidi="ar"/>
              </w:rPr>
              <w:t>本月监测的全国100个城市（新建）住宅平均价格为12009元/平米，</w:t>
            </w:r>
            <w:r>
              <w:rPr>
                <w:rFonts w:hint="eastAsia" w:ascii="宋体" w:hAnsi="宋体" w:eastAsia="宋体" w:cs="宋体"/>
                <w:b/>
                <w:caps w:val="0"/>
                <w:color w:val="000000"/>
                <w:spacing w:val="0"/>
                <w:kern w:val="0"/>
                <w:sz w:val="14"/>
                <w:szCs w:val="14"/>
                <w:lang w:val="en-US" w:eastAsia="zh-CN" w:bidi="ar"/>
              </w:rPr>
              <w:t>环比上涨1.63%。</w:t>
            </w:r>
            <w:r>
              <w:rPr>
                <w:rFonts w:hint="eastAsia" w:ascii="宋体" w:hAnsi="宋体" w:eastAsia="宋体" w:cs="宋体"/>
                <w:caps w:val="0"/>
                <w:color w:val="000000"/>
                <w:spacing w:val="0"/>
                <w:kern w:val="0"/>
                <w:sz w:val="14"/>
                <w:szCs w:val="14"/>
                <w:lang w:val="en-US" w:eastAsia="zh-CN" w:bidi="ar"/>
              </w:rPr>
              <w:t>从涨跌城市个数来看</w:t>
            </w:r>
            <w:r>
              <w:rPr>
                <w:rFonts w:hint="eastAsia" w:ascii="宋体" w:hAnsi="宋体" w:eastAsia="宋体" w:cs="宋体"/>
                <w:b/>
                <w:caps w:val="0"/>
                <w:color w:val="000000"/>
                <w:spacing w:val="0"/>
                <w:kern w:val="0"/>
                <w:sz w:val="14"/>
                <w:szCs w:val="14"/>
                <w:lang w:val="en-US" w:eastAsia="zh-CN" w:bidi="ar"/>
              </w:rPr>
              <w:t>价格环比上涨的有66个，</w:t>
            </w:r>
            <w:r>
              <w:rPr>
                <w:rFonts w:hint="eastAsia" w:ascii="宋体" w:hAnsi="宋体" w:eastAsia="宋体" w:cs="宋体"/>
                <w:caps w:val="0"/>
                <w:color w:val="000000"/>
                <w:spacing w:val="0"/>
                <w:kern w:val="0"/>
                <w:sz w:val="14"/>
                <w:szCs w:val="14"/>
                <w:lang w:val="en-US" w:eastAsia="zh-CN" w:bidi="ar"/>
              </w:rPr>
              <w:t>较上月减少7个，其中，嘉兴、廊坊、合肥、厦门、福州涨幅相对较高，在4-5%之间；</w:t>
            </w:r>
            <w:r>
              <w:rPr>
                <w:rFonts w:hint="eastAsia" w:ascii="宋体" w:hAnsi="宋体" w:eastAsia="宋体" w:cs="宋体"/>
                <w:b/>
                <w:caps w:val="0"/>
                <w:color w:val="000000"/>
                <w:spacing w:val="0"/>
                <w:kern w:val="0"/>
                <w:sz w:val="14"/>
                <w:szCs w:val="14"/>
                <w:lang w:val="en-US" w:eastAsia="zh-CN" w:bidi="ar"/>
              </w:rPr>
              <w:t>价格环比下跌的城市有30个，</w:t>
            </w:r>
            <w:r>
              <w:rPr>
                <w:rFonts w:hint="eastAsia" w:ascii="宋体" w:hAnsi="宋体" w:eastAsia="宋体" w:cs="宋体"/>
                <w:caps w:val="0"/>
                <w:color w:val="000000"/>
                <w:spacing w:val="0"/>
                <w:kern w:val="0"/>
                <w:sz w:val="14"/>
                <w:szCs w:val="14"/>
                <w:lang w:val="en-US" w:eastAsia="zh-CN" w:bidi="ar"/>
              </w:rPr>
              <w:t>较上月增加8个，其中，海口和秦皇岛跌幅超过1%；</w:t>
            </w:r>
            <w:r>
              <w:rPr>
                <w:rFonts w:hint="eastAsia" w:ascii="宋体" w:hAnsi="宋体" w:eastAsia="宋体" w:cs="宋体"/>
                <w:b/>
                <w:caps w:val="0"/>
                <w:color w:val="000000"/>
                <w:spacing w:val="0"/>
                <w:kern w:val="0"/>
                <w:sz w:val="14"/>
                <w:szCs w:val="14"/>
                <w:lang w:val="en-US" w:eastAsia="zh-CN" w:bidi="ar"/>
              </w:rPr>
              <w:t>有4个城市与上月持平。</w:t>
            </w:r>
            <w:r>
              <w:rPr>
                <w:rFonts w:hint="eastAsia" w:ascii="宋体" w:hAnsi="宋体" w:eastAsia="宋体" w:cs="宋体"/>
                <w:caps w:val="0"/>
                <w:color w:val="000000"/>
                <w:spacing w:val="0"/>
                <w:kern w:val="0"/>
                <w:sz w:val="14"/>
                <w:szCs w:val="14"/>
                <w:lang w:val="en-US" w:eastAsia="zh-CN" w:bidi="ar"/>
              </w:rPr>
              <w:t>同比来看，住宅均价</w:t>
            </w:r>
            <w:r>
              <w:rPr>
                <w:rFonts w:hint="eastAsia" w:ascii="宋体" w:hAnsi="宋体" w:eastAsia="宋体" w:cs="宋体"/>
                <w:b/>
                <w:caps w:val="0"/>
                <w:color w:val="000000"/>
                <w:spacing w:val="0"/>
                <w:kern w:val="0"/>
                <w:sz w:val="14"/>
                <w:szCs w:val="14"/>
                <w:lang w:val="en-US" w:eastAsia="zh-CN" w:bidi="ar"/>
              </w:rPr>
              <w:t>较去年同期上涨12.39%。</w:t>
            </w:r>
            <w:r>
              <w:rPr>
                <w:rFonts w:hint="eastAsia" w:ascii="宋体" w:hAnsi="宋体" w:eastAsia="宋体" w:cs="宋体"/>
                <w:caps w:val="0"/>
                <w:color w:val="000000"/>
                <w:spacing w:val="0"/>
                <w:kern w:val="0"/>
                <w:sz w:val="14"/>
                <w:szCs w:val="14"/>
                <w:lang w:val="en-US" w:eastAsia="zh-CN" w:bidi="ar"/>
              </w:rPr>
              <w:t>另外，北京、上海等十大城市（新建）住宅均价为22945元/平方米，环比上涨2.20%，同比上涨17.19%。</w:t>
            </w:r>
            <w:r>
              <w:rPr>
                <w:rFonts w:hint="eastAsia" w:ascii="宋体" w:hAnsi="宋体" w:eastAsia="宋体" w:cs="宋体"/>
                <w:b/>
                <w:caps w:val="0"/>
                <w:color w:val="000000"/>
                <w:spacing w:val="0"/>
                <w:kern w:val="0"/>
                <w:sz w:val="14"/>
                <w:szCs w:val="14"/>
                <w:lang w:val="en-US" w:eastAsia="zh-CN" w:bidi="ar"/>
              </w:rPr>
              <w:t>整体来看，7月百城住宅均价环比同比均有所扩大，热点城市政策不断趋紧。</w:t>
            </w:r>
          </w:p>
          <w:p>
            <w:pPr>
              <w:pStyle w:val="4"/>
              <w:keepNext w:val="0"/>
              <w:keepLines w:val="0"/>
              <w:widowControl/>
              <w:suppressLineNumbers w:val="0"/>
              <w:spacing w:line="216" w:lineRule="atLeast"/>
              <w:ind w:left="0" w:firstLine="482"/>
              <w:jc w:val="left"/>
            </w:pPr>
            <w:r>
              <w:rPr>
                <w:rFonts w:hint="eastAsia" w:ascii="宋体" w:hAnsi="宋体" w:eastAsia="宋体" w:cs="宋体"/>
                <w:caps w:val="0"/>
                <w:color w:val="000000"/>
                <w:spacing w:val="0"/>
                <w:sz w:val="14"/>
                <w:szCs w:val="14"/>
              </w:rPr>
              <w:t> </w:t>
            </w:r>
          </w:p>
          <w:p>
            <w:pPr>
              <w:keepNext w:val="0"/>
              <w:keepLines w:val="0"/>
              <w:widowControl/>
              <w:suppressLineNumbers w:val="0"/>
              <w:spacing w:line="24" w:lineRule="atLeast"/>
              <w:ind w:left="0" w:firstLine="0"/>
              <w:jc w:val="center"/>
              <w:rPr>
                <w:rFonts w:hint="eastAsia" w:ascii="宋体" w:hAnsi="宋体" w:eastAsia="宋体" w:cs="宋体"/>
                <w:caps w:val="0"/>
                <w:color w:val="000000"/>
                <w:spacing w:val="0"/>
                <w:sz w:val="14"/>
                <w:szCs w:val="14"/>
                <w:lang w:val="en-US"/>
              </w:rPr>
            </w:pPr>
            <w:r>
              <w:rPr>
                <w:rFonts w:hint="eastAsia" w:ascii="宋体" w:hAnsi="宋体" w:eastAsia="宋体" w:cs="宋体"/>
                <w:b/>
                <w:caps w:val="0"/>
                <w:color w:val="000000"/>
                <w:spacing w:val="0"/>
                <w:kern w:val="0"/>
                <w:sz w:val="24"/>
                <w:szCs w:val="24"/>
                <w:lang w:val="en-US" w:eastAsia="zh-CN" w:bidi="ar"/>
              </w:rPr>
              <w:t>三、本地楼市成交情况</w:t>
            </w:r>
          </w:p>
          <w:p>
            <w:pPr>
              <w:keepNext w:val="0"/>
              <w:keepLines w:val="0"/>
              <w:widowControl/>
              <w:suppressLineNumbers w:val="0"/>
              <w:spacing w:line="24" w:lineRule="atLeast"/>
              <w:ind w:left="0" w:firstLine="0"/>
              <w:jc w:val="center"/>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b/>
                <w:caps w:val="0"/>
                <w:color w:val="000000"/>
                <w:spacing w:val="0"/>
                <w:kern w:val="0"/>
                <w:sz w:val="14"/>
                <w:szCs w:val="14"/>
                <w:lang w:val="en-US" w:eastAsia="zh-CN" w:bidi="ar"/>
              </w:rPr>
              <w:t>1、宜昌城区住宅成交情况</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pStyle w:val="4"/>
              <w:keepNext w:val="0"/>
              <w:keepLines w:val="0"/>
              <w:widowControl/>
              <w:suppressLineNumbers w:val="0"/>
              <w:spacing w:line="24" w:lineRule="atLeast"/>
              <w:jc w:val="center"/>
            </w:pPr>
            <w:r>
              <w:rPr>
                <w:rFonts w:hint="eastAsia" w:ascii="宋体" w:hAnsi="宋体" w:eastAsia="宋体" w:cs="宋体"/>
                <w:caps w:val="0"/>
                <w:color w:val="000000"/>
                <w:spacing w:val="0"/>
                <w:sz w:val="14"/>
                <w:szCs w:val="14"/>
                <w:lang w:val="en-US"/>
              </w:rPr>
              <w:drawing>
                <wp:inline distT="0" distB="0" distL="114300" distR="114300">
                  <wp:extent cx="5972175" cy="5429250"/>
                  <wp:effectExtent l="0" t="0" r="1905" b="11430"/>
                  <wp:docPr id="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8"/>
                          <pic:cNvPicPr>
                            <a:picLocks noChangeAspect="1"/>
                          </pic:cNvPicPr>
                        </pic:nvPicPr>
                        <pic:blipFill>
                          <a:blip r:embed="rId6"/>
                          <a:stretch>
                            <a:fillRect/>
                          </a:stretch>
                        </pic:blipFill>
                        <pic:spPr>
                          <a:xfrm>
                            <a:off x="0" y="0"/>
                            <a:ext cx="5972175" cy="54292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2016年7月，宜昌城区新建住宅成交</w:t>
            </w:r>
            <w:r>
              <w:rPr>
                <w:rFonts w:hint="eastAsia" w:ascii="宋体" w:hAnsi="宋体" w:eastAsia="宋体" w:cs="宋体"/>
                <w:b/>
                <w:caps w:val="0"/>
                <w:color w:val="000000"/>
                <w:spacing w:val="0"/>
                <w:kern w:val="0"/>
                <w:sz w:val="14"/>
                <w:szCs w:val="14"/>
                <w:lang w:val="en-US" w:eastAsia="zh-CN" w:bidi="ar"/>
              </w:rPr>
              <w:t>1827套</w:t>
            </w:r>
            <w:r>
              <w:rPr>
                <w:rFonts w:hint="eastAsia" w:ascii="宋体" w:hAnsi="宋体" w:eastAsia="宋体" w:cs="宋体"/>
                <w:caps w:val="0"/>
                <w:color w:val="000000"/>
                <w:spacing w:val="0"/>
                <w:kern w:val="0"/>
                <w:sz w:val="14"/>
                <w:szCs w:val="14"/>
                <w:lang w:val="en-US" w:eastAsia="zh-CN" w:bidi="ar"/>
              </w:rPr>
              <w:t>，环比下跌4.1%，同比上涨17.1%；成交面积</w:t>
            </w:r>
            <w:r>
              <w:rPr>
                <w:rFonts w:hint="eastAsia" w:ascii="宋体" w:hAnsi="宋体" w:eastAsia="宋体" w:cs="宋体"/>
                <w:b/>
                <w:caps w:val="0"/>
                <w:color w:val="000000"/>
                <w:spacing w:val="0"/>
                <w:kern w:val="0"/>
                <w:sz w:val="14"/>
                <w:szCs w:val="14"/>
                <w:lang w:val="en-US" w:eastAsia="zh-CN" w:bidi="ar"/>
              </w:rPr>
              <w:t>20.78万方</w:t>
            </w:r>
            <w:r>
              <w:rPr>
                <w:rFonts w:hint="eastAsia" w:ascii="宋体" w:hAnsi="宋体" w:eastAsia="宋体" w:cs="宋体"/>
                <w:caps w:val="0"/>
                <w:color w:val="000000"/>
                <w:spacing w:val="0"/>
                <w:kern w:val="0"/>
                <w:sz w:val="14"/>
                <w:szCs w:val="14"/>
                <w:lang w:val="en-US" w:eastAsia="zh-CN" w:bidi="ar"/>
              </w:rPr>
              <w:t>，环比微跌0.9%，同比上涨18.8%；成交总额约</w:t>
            </w:r>
            <w:r>
              <w:rPr>
                <w:rFonts w:hint="eastAsia" w:ascii="宋体" w:hAnsi="宋体" w:eastAsia="宋体" w:cs="宋体"/>
                <w:b/>
                <w:caps w:val="0"/>
                <w:color w:val="000000"/>
                <w:spacing w:val="0"/>
                <w:kern w:val="0"/>
                <w:sz w:val="14"/>
                <w:szCs w:val="14"/>
                <w:lang w:val="en-US" w:eastAsia="zh-CN" w:bidi="ar"/>
              </w:rPr>
              <w:t>11.50亿元</w:t>
            </w:r>
            <w:r>
              <w:rPr>
                <w:rFonts w:hint="eastAsia" w:ascii="宋体" w:hAnsi="宋体" w:eastAsia="宋体" w:cs="宋体"/>
                <w:caps w:val="0"/>
                <w:color w:val="000000"/>
                <w:spacing w:val="0"/>
                <w:kern w:val="0"/>
                <w:sz w:val="14"/>
                <w:szCs w:val="14"/>
                <w:lang w:val="en-US" w:eastAsia="zh-CN" w:bidi="ar"/>
              </w:rPr>
              <w:t>，</w:t>
            </w:r>
            <w:r>
              <w:rPr>
                <w:rFonts w:hint="eastAsia" w:ascii="宋体" w:hAnsi="宋体" w:eastAsia="宋体" w:cs="宋体"/>
                <w:b/>
                <w:caps w:val="0"/>
                <w:color w:val="000000"/>
                <w:spacing w:val="0"/>
                <w:kern w:val="0"/>
                <w:sz w:val="14"/>
                <w:szCs w:val="14"/>
                <w:lang w:val="en-US" w:eastAsia="zh-CN" w:bidi="ar"/>
              </w:rPr>
              <w:t>环比微涨0.7%</w:t>
            </w:r>
            <w:r>
              <w:rPr>
                <w:rFonts w:hint="eastAsia" w:ascii="宋体" w:hAnsi="宋体" w:eastAsia="宋体" w:cs="宋体"/>
                <w:caps w:val="0"/>
                <w:color w:val="000000"/>
                <w:spacing w:val="0"/>
                <w:kern w:val="0"/>
                <w:sz w:val="14"/>
                <w:szCs w:val="14"/>
                <w:lang w:val="en-US" w:eastAsia="zh-CN" w:bidi="ar"/>
              </w:rPr>
              <w:t>，同比上涨43.3%；成交均价为</w:t>
            </w:r>
            <w:r>
              <w:rPr>
                <w:rFonts w:hint="eastAsia" w:ascii="宋体" w:hAnsi="宋体" w:eastAsia="宋体" w:cs="宋体"/>
                <w:b/>
                <w:caps w:val="0"/>
                <w:color w:val="000000"/>
                <w:spacing w:val="0"/>
                <w:kern w:val="0"/>
                <w:sz w:val="14"/>
                <w:szCs w:val="14"/>
                <w:lang w:val="en-US" w:eastAsia="zh-CN" w:bidi="ar"/>
              </w:rPr>
              <w:t>5536元/㎡</w:t>
            </w:r>
            <w:r>
              <w:rPr>
                <w:rFonts w:hint="eastAsia" w:ascii="宋体" w:hAnsi="宋体" w:eastAsia="宋体" w:cs="宋体"/>
                <w:caps w:val="0"/>
                <w:color w:val="000000"/>
                <w:spacing w:val="0"/>
                <w:kern w:val="0"/>
                <w:sz w:val="14"/>
                <w:szCs w:val="14"/>
                <w:lang w:val="en-US" w:eastAsia="zh-CN" w:bidi="ar"/>
              </w:rPr>
              <w:t>，</w:t>
            </w:r>
            <w:r>
              <w:rPr>
                <w:rFonts w:hint="eastAsia" w:ascii="宋体" w:hAnsi="宋体" w:eastAsia="宋体" w:cs="宋体"/>
                <w:b/>
                <w:caps w:val="0"/>
                <w:color w:val="000000"/>
                <w:spacing w:val="0"/>
                <w:kern w:val="0"/>
                <w:sz w:val="14"/>
                <w:szCs w:val="14"/>
                <w:lang w:val="en-US" w:eastAsia="zh-CN" w:bidi="ar"/>
              </w:rPr>
              <w:t>环比上涨1.6%</w:t>
            </w:r>
            <w:r>
              <w:rPr>
                <w:rFonts w:hint="eastAsia" w:ascii="宋体" w:hAnsi="宋体" w:eastAsia="宋体" w:cs="宋体"/>
                <w:caps w:val="0"/>
                <w:color w:val="000000"/>
                <w:spacing w:val="0"/>
                <w:kern w:val="0"/>
                <w:sz w:val="14"/>
                <w:szCs w:val="14"/>
                <w:lang w:val="en-US" w:eastAsia="zh-CN" w:bidi="ar"/>
              </w:rPr>
              <w:t>，同比上涨5.4%。</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虽然7月住宅成交量相对于6月有所下滑，但成交仍不俗。</w:t>
            </w:r>
            <w:r>
              <w:rPr>
                <w:rFonts w:hint="eastAsia" w:ascii="宋体" w:hAnsi="宋体" w:eastAsia="宋体" w:cs="宋体"/>
                <w:b/>
                <w:caps w:val="0"/>
                <w:color w:val="000000"/>
                <w:spacing w:val="0"/>
                <w:kern w:val="0"/>
                <w:sz w:val="14"/>
                <w:szCs w:val="14"/>
                <w:lang w:val="en-US" w:eastAsia="zh-CN" w:bidi="ar"/>
              </w:rPr>
              <w:t>尤其在25日，成交量高达137套，创今年单日成交最高峰值。</w:t>
            </w:r>
            <w:r>
              <w:rPr>
                <w:rFonts w:hint="eastAsia" w:ascii="宋体" w:hAnsi="宋体" w:eastAsia="宋体" w:cs="宋体"/>
                <w:caps w:val="0"/>
                <w:color w:val="000000"/>
                <w:spacing w:val="0"/>
                <w:kern w:val="0"/>
                <w:sz w:val="14"/>
                <w:szCs w:val="14"/>
                <w:lang w:val="en-US" w:eastAsia="zh-CN" w:bidi="ar"/>
              </w:rPr>
              <w:t>其中14日、28日和29日单日成交均超过90套。本月</w:t>
            </w:r>
            <w:r>
              <w:rPr>
                <w:rFonts w:hint="eastAsia" w:ascii="宋体" w:hAnsi="宋体" w:eastAsia="宋体" w:cs="宋体"/>
                <w:b/>
                <w:caps w:val="0"/>
                <w:color w:val="000000"/>
                <w:spacing w:val="0"/>
                <w:kern w:val="0"/>
                <w:sz w:val="14"/>
                <w:szCs w:val="14"/>
                <w:lang w:val="en-US" w:eastAsia="zh-CN" w:bidi="ar"/>
              </w:rPr>
              <w:t>碧桂园御园、香樟里、中兴国际花园、城中半岛、山水华庭</w:t>
            </w:r>
            <w:r>
              <w:rPr>
                <w:rFonts w:hint="eastAsia" w:ascii="宋体" w:hAnsi="宋体" w:eastAsia="宋体" w:cs="宋体"/>
                <w:caps w:val="0"/>
                <w:color w:val="000000"/>
                <w:spacing w:val="0"/>
                <w:kern w:val="0"/>
                <w:sz w:val="14"/>
                <w:szCs w:val="14"/>
                <w:lang w:val="en-US" w:eastAsia="zh-CN" w:bidi="ar"/>
              </w:rPr>
              <w:t>等楼盘开盘或加推是本月成交不俗的主要原因。</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pStyle w:val="4"/>
              <w:keepNext w:val="0"/>
              <w:keepLines w:val="0"/>
              <w:widowControl/>
              <w:suppressLineNumbers w:val="0"/>
              <w:spacing w:line="24" w:lineRule="atLeast"/>
              <w:jc w:val="center"/>
            </w:pPr>
            <w:r>
              <w:rPr>
                <w:rFonts w:hint="eastAsia" w:ascii="宋体" w:hAnsi="宋体" w:eastAsia="宋体" w:cs="宋体"/>
                <w:caps w:val="0"/>
                <w:color w:val="000000"/>
                <w:spacing w:val="0"/>
                <w:sz w:val="14"/>
                <w:szCs w:val="14"/>
                <w:lang w:val="en-US"/>
              </w:rPr>
              <w:drawing>
                <wp:inline distT="0" distB="0" distL="114300" distR="114300">
                  <wp:extent cx="7077075" cy="2447925"/>
                  <wp:effectExtent l="0" t="0" r="9525" b="5715"/>
                  <wp:docPr id="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9"/>
                          <pic:cNvPicPr>
                            <a:picLocks noChangeAspect="1"/>
                          </pic:cNvPicPr>
                        </pic:nvPicPr>
                        <pic:blipFill>
                          <a:blip r:embed="rId7"/>
                          <a:stretch>
                            <a:fillRect/>
                          </a:stretch>
                        </pic:blipFill>
                        <pic:spPr>
                          <a:xfrm>
                            <a:off x="0" y="0"/>
                            <a:ext cx="7077075" cy="24479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2016年7月，从各区域成交情况来看，</w:t>
            </w:r>
            <w:r>
              <w:rPr>
                <w:rFonts w:hint="eastAsia" w:ascii="宋体" w:hAnsi="宋体" w:eastAsia="宋体" w:cs="宋体"/>
                <w:b/>
                <w:caps w:val="0"/>
                <w:color w:val="000000"/>
                <w:spacing w:val="0"/>
                <w:kern w:val="0"/>
                <w:sz w:val="14"/>
                <w:szCs w:val="14"/>
                <w:lang w:val="en-US" w:eastAsia="zh-CN" w:bidi="ar"/>
              </w:rPr>
              <w:t>伍家区成交1028套，</w:t>
            </w:r>
            <w:r>
              <w:rPr>
                <w:rFonts w:hint="eastAsia" w:ascii="宋体" w:hAnsi="宋体" w:eastAsia="宋体" w:cs="宋体"/>
                <w:caps w:val="0"/>
                <w:color w:val="000000"/>
                <w:spacing w:val="0"/>
                <w:kern w:val="0"/>
                <w:sz w:val="14"/>
                <w:szCs w:val="14"/>
                <w:lang w:val="en-US" w:eastAsia="zh-CN" w:bidi="ar"/>
              </w:rPr>
              <w:t>占比56%，位居榜首，环比下跌5.6%，同比上涨60.1%。区内</w:t>
            </w:r>
            <w:r>
              <w:rPr>
                <w:rFonts w:hint="eastAsia" w:ascii="宋体" w:hAnsi="宋体" w:eastAsia="宋体" w:cs="宋体"/>
                <w:b/>
                <w:caps w:val="0"/>
                <w:color w:val="000000"/>
                <w:spacing w:val="0"/>
                <w:kern w:val="0"/>
                <w:sz w:val="14"/>
                <w:szCs w:val="14"/>
                <w:lang w:val="en-US" w:eastAsia="zh-CN" w:bidi="ar"/>
              </w:rPr>
              <w:t>城中半岛、山水华庭、东辰雅园</w:t>
            </w:r>
            <w:r>
              <w:rPr>
                <w:rFonts w:hint="eastAsia" w:ascii="宋体" w:hAnsi="宋体" w:eastAsia="宋体" w:cs="宋体"/>
                <w:caps w:val="0"/>
                <w:color w:val="000000"/>
                <w:spacing w:val="0"/>
                <w:kern w:val="0"/>
                <w:sz w:val="14"/>
                <w:szCs w:val="14"/>
                <w:lang w:val="en-US" w:eastAsia="zh-CN" w:bidi="ar"/>
              </w:rPr>
              <w:t>等楼盘销售较好</w:t>
            </w:r>
            <w:r>
              <w:rPr>
                <w:rFonts w:hint="eastAsia" w:ascii="宋体" w:hAnsi="宋体" w:eastAsia="宋体" w:cs="宋体"/>
                <w:b/>
                <w:caps w:val="0"/>
                <w:color w:val="000000"/>
                <w:spacing w:val="0"/>
                <w:kern w:val="0"/>
                <w:sz w:val="14"/>
                <w:szCs w:val="14"/>
                <w:lang w:val="en-US" w:eastAsia="zh-CN" w:bidi="ar"/>
              </w:rPr>
              <w:t>；夷陵区成交254套，</w:t>
            </w:r>
            <w:r>
              <w:rPr>
                <w:rFonts w:hint="eastAsia" w:ascii="宋体" w:hAnsi="宋体" w:eastAsia="宋体" w:cs="宋体"/>
                <w:caps w:val="0"/>
                <w:color w:val="000000"/>
                <w:spacing w:val="0"/>
                <w:kern w:val="0"/>
                <w:sz w:val="14"/>
                <w:szCs w:val="14"/>
                <w:lang w:val="en-US" w:eastAsia="zh-CN" w:bidi="ar"/>
              </w:rPr>
              <w:t>占比14%，排名第二，环比下跌18.1%，同比下跌32.3%。区内</w:t>
            </w:r>
            <w:r>
              <w:rPr>
                <w:rFonts w:hint="eastAsia" w:ascii="宋体" w:hAnsi="宋体" w:eastAsia="宋体" w:cs="宋体"/>
                <w:b/>
                <w:caps w:val="0"/>
                <w:color w:val="000000"/>
                <w:spacing w:val="0"/>
                <w:kern w:val="0"/>
                <w:sz w:val="14"/>
                <w:szCs w:val="14"/>
                <w:lang w:val="en-US" w:eastAsia="zh-CN" w:bidi="ar"/>
              </w:rPr>
              <w:t>国宾壹号、清江润城、楚天·虹桥澜岸</w:t>
            </w:r>
            <w:r>
              <w:rPr>
                <w:rFonts w:hint="eastAsia" w:ascii="宋体" w:hAnsi="宋体" w:eastAsia="宋体" w:cs="宋体"/>
                <w:caps w:val="0"/>
                <w:color w:val="000000"/>
                <w:spacing w:val="0"/>
                <w:kern w:val="0"/>
                <w:sz w:val="14"/>
                <w:szCs w:val="14"/>
                <w:lang w:val="en-US" w:eastAsia="zh-CN" w:bidi="ar"/>
              </w:rPr>
              <w:t>等楼盘销售较好；点军区本月挺进第三，成交223套，占比12%，环比上涨62.8%，同比上涨118.6%。</w:t>
            </w:r>
            <w:r>
              <w:rPr>
                <w:rFonts w:hint="eastAsia" w:ascii="宋体" w:hAnsi="宋体" w:eastAsia="宋体" w:cs="宋体"/>
                <w:b/>
                <w:caps w:val="0"/>
                <w:color w:val="000000"/>
                <w:spacing w:val="0"/>
                <w:kern w:val="0"/>
                <w:sz w:val="14"/>
                <w:szCs w:val="14"/>
                <w:lang w:val="en-US" w:eastAsia="zh-CN" w:bidi="ar"/>
              </w:rPr>
              <w:t>随着至喜大桥的通车，点军区成交量上涨尤为明显，</w:t>
            </w:r>
            <w:r>
              <w:rPr>
                <w:rFonts w:hint="eastAsia" w:ascii="宋体" w:hAnsi="宋体" w:eastAsia="宋体" w:cs="宋体"/>
                <w:caps w:val="0"/>
                <w:color w:val="000000"/>
                <w:spacing w:val="0"/>
                <w:kern w:val="0"/>
                <w:sz w:val="14"/>
                <w:szCs w:val="14"/>
                <w:lang w:val="en-US" w:eastAsia="zh-CN" w:bidi="ar"/>
              </w:rPr>
              <w:t>区内</w:t>
            </w:r>
            <w:r>
              <w:rPr>
                <w:rFonts w:hint="eastAsia" w:ascii="宋体" w:hAnsi="宋体" w:eastAsia="宋体" w:cs="宋体"/>
                <w:b/>
                <w:caps w:val="0"/>
                <w:color w:val="000000"/>
                <w:spacing w:val="0"/>
                <w:kern w:val="0"/>
                <w:sz w:val="14"/>
                <w:szCs w:val="14"/>
                <w:lang w:val="en-US" w:eastAsia="zh-CN" w:bidi="ar"/>
              </w:rPr>
              <w:t>清能碧桂园</w:t>
            </w:r>
            <w:r>
              <w:rPr>
                <w:rFonts w:hint="eastAsia" w:ascii="宋体" w:hAnsi="宋体" w:eastAsia="宋体" w:cs="宋体"/>
                <w:caps w:val="0"/>
                <w:color w:val="000000"/>
                <w:spacing w:val="0"/>
                <w:kern w:val="0"/>
                <w:sz w:val="14"/>
                <w:szCs w:val="14"/>
                <w:lang w:val="en-US" w:eastAsia="zh-CN" w:bidi="ar"/>
              </w:rPr>
              <w:t>和</w:t>
            </w:r>
            <w:r>
              <w:rPr>
                <w:rFonts w:hint="eastAsia" w:ascii="宋体" w:hAnsi="宋体" w:eastAsia="宋体" w:cs="宋体"/>
                <w:b/>
                <w:caps w:val="0"/>
                <w:color w:val="000000"/>
                <w:spacing w:val="0"/>
                <w:kern w:val="0"/>
                <w:sz w:val="14"/>
                <w:szCs w:val="14"/>
                <w:lang w:val="en-US" w:eastAsia="zh-CN" w:bidi="ar"/>
              </w:rPr>
              <w:t>碧桂园御园</w:t>
            </w:r>
            <w:r>
              <w:rPr>
                <w:rFonts w:hint="eastAsia" w:ascii="宋体" w:hAnsi="宋体" w:eastAsia="宋体" w:cs="宋体"/>
                <w:caps w:val="0"/>
                <w:color w:val="000000"/>
                <w:spacing w:val="0"/>
                <w:kern w:val="0"/>
                <w:sz w:val="14"/>
                <w:szCs w:val="14"/>
                <w:lang w:val="en-US" w:eastAsia="zh-CN" w:bidi="ar"/>
              </w:rPr>
              <w:t>加推，销售火爆。</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b/>
                <w:caps w:val="0"/>
                <w:color w:val="000000"/>
                <w:spacing w:val="0"/>
                <w:kern w:val="0"/>
                <w:sz w:val="14"/>
                <w:szCs w:val="14"/>
                <w:lang w:val="en-US" w:eastAsia="zh-CN" w:bidi="ar"/>
              </w:rPr>
              <w:t>2、宜昌城区二手房成交情况</w:t>
            </w:r>
          </w:p>
          <w:p>
            <w:pPr>
              <w:pStyle w:val="4"/>
              <w:keepNext w:val="0"/>
              <w:keepLines w:val="0"/>
              <w:widowControl/>
              <w:suppressLineNumbers w:val="0"/>
              <w:spacing w:line="24" w:lineRule="atLeast"/>
              <w:jc w:val="center"/>
            </w:pPr>
            <w:r>
              <w:rPr>
                <w:rStyle w:val="7"/>
                <w:rFonts w:hint="eastAsia" w:ascii="宋体" w:hAnsi="宋体" w:eastAsia="宋体" w:cs="宋体"/>
                <w:caps w:val="0"/>
                <w:color w:val="000000"/>
                <w:spacing w:val="0"/>
                <w:sz w:val="14"/>
                <w:szCs w:val="14"/>
                <w:lang w:val="en-US"/>
              </w:rPr>
              <w:drawing>
                <wp:inline distT="0" distB="0" distL="114300" distR="114300">
                  <wp:extent cx="7200900" cy="2438400"/>
                  <wp:effectExtent l="0" t="0" r="7620" b="0"/>
                  <wp:docPr id="1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60"/>
                          <pic:cNvPicPr>
                            <a:picLocks noChangeAspect="1"/>
                          </pic:cNvPicPr>
                        </pic:nvPicPr>
                        <pic:blipFill>
                          <a:blip r:embed="rId8"/>
                          <a:stretch>
                            <a:fillRect/>
                          </a:stretch>
                        </pic:blipFill>
                        <pic:spPr>
                          <a:xfrm>
                            <a:off x="0" y="0"/>
                            <a:ext cx="7200900" cy="24384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b/>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2016年7月，宜昌城区二手房</w:t>
            </w:r>
            <w:r>
              <w:rPr>
                <w:rFonts w:hint="eastAsia" w:ascii="宋体" w:hAnsi="宋体" w:eastAsia="宋体" w:cs="宋体"/>
                <w:b/>
                <w:caps w:val="0"/>
                <w:color w:val="000000"/>
                <w:spacing w:val="0"/>
                <w:kern w:val="0"/>
                <w:sz w:val="14"/>
                <w:szCs w:val="14"/>
                <w:lang w:val="en-US" w:eastAsia="zh-CN" w:bidi="ar"/>
              </w:rPr>
              <w:t>成交859套</w:t>
            </w:r>
            <w:r>
              <w:rPr>
                <w:rFonts w:hint="eastAsia" w:ascii="宋体" w:hAnsi="宋体" w:eastAsia="宋体" w:cs="宋体"/>
                <w:caps w:val="0"/>
                <w:color w:val="000000"/>
                <w:spacing w:val="0"/>
                <w:kern w:val="0"/>
                <w:sz w:val="14"/>
                <w:szCs w:val="14"/>
                <w:lang w:val="en-US" w:eastAsia="zh-CN" w:bidi="ar"/>
              </w:rPr>
              <w:t>，环比微跌0.8%，同比增长72.8%；</w:t>
            </w:r>
            <w:r>
              <w:rPr>
                <w:rFonts w:hint="eastAsia" w:ascii="宋体" w:hAnsi="宋体" w:eastAsia="宋体" w:cs="宋体"/>
                <w:b/>
                <w:caps w:val="0"/>
                <w:color w:val="000000"/>
                <w:spacing w:val="0"/>
                <w:kern w:val="0"/>
                <w:sz w:val="14"/>
                <w:szCs w:val="14"/>
                <w:lang w:val="en-US" w:eastAsia="zh-CN" w:bidi="ar"/>
              </w:rPr>
              <w:t>成交面积8.42万方，</w:t>
            </w:r>
            <w:r>
              <w:rPr>
                <w:rFonts w:hint="eastAsia" w:ascii="宋体" w:hAnsi="宋体" w:eastAsia="宋体" w:cs="宋体"/>
                <w:caps w:val="0"/>
                <w:color w:val="000000"/>
                <w:spacing w:val="0"/>
                <w:kern w:val="0"/>
                <w:sz w:val="14"/>
                <w:szCs w:val="14"/>
                <w:lang w:val="en-US" w:eastAsia="zh-CN" w:bidi="ar"/>
              </w:rPr>
              <w:t>环比下跌5.2%，同比增长86.7%；</w:t>
            </w:r>
            <w:r>
              <w:rPr>
                <w:rFonts w:hint="eastAsia" w:ascii="宋体" w:hAnsi="宋体" w:eastAsia="宋体" w:cs="宋体"/>
                <w:b/>
                <w:caps w:val="0"/>
                <w:color w:val="000000"/>
                <w:spacing w:val="0"/>
                <w:kern w:val="0"/>
                <w:sz w:val="14"/>
                <w:szCs w:val="14"/>
                <w:lang w:val="en-US" w:eastAsia="zh-CN" w:bidi="ar"/>
              </w:rPr>
              <w:t>成交总额约2.70亿元，</w:t>
            </w:r>
            <w:r>
              <w:rPr>
                <w:rFonts w:hint="eastAsia" w:ascii="宋体" w:hAnsi="宋体" w:eastAsia="宋体" w:cs="宋体"/>
                <w:caps w:val="0"/>
                <w:color w:val="000000"/>
                <w:spacing w:val="0"/>
                <w:kern w:val="0"/>
                <w:sz w:val="14"/>
                <w:szCs w:val="14"/>
                <w:lang w:val="en-US" w:eastAsia="zh-CN" w:bidi="ar"/>
              </w:rPr>
              <w:t>环比下跌8.2%，同比增长100%；</w:t>
            </w:r>
            <w:r>
              <w:rPr>
                <w:rFonts w:hint="eastAsia" w:ascii="宋体" w:hAnsi="宋体" w:eastAsia="宋体" w:cs="宋体"/>
                <w:b/>
                <w:caps w:val="0"/>
                <w:color w:val="000000"/>
                <w:spacing w:val="0"/>
                <w:kern w:val="0"/>
                <w:sz w:val="14"/>
                <w:szCs w:val="14"/>
                <w:lang w:val="en-US" w:eastAsia="zh-CN" w:bidi="ar"/>
              </w:rPr>
              <w:t>成交均价为3203元/㎡，</w:t>
            </w:r>
            <w:r>
              <w:rPr>
                <w:rFonts w:hint="eastAsia" w:ascii="宋体" w:hAnsi="宋体" w:eastAsia="宋体" w:cs="宋体"/>
                <w:caps w:val="0"/>
                <w:color w:val="000000"/>
                <w:spacing w:val="0"/>
                <w:kern w:val="0"/>
                <w:sz w:val="14"/>
                <w:szCs w:val="14"/>
                <w:lang w:val="en-US" w:eastAsia="zh-CN" w:bidi="ar"/>
              </w:rPr>
              <w:t>环比下跌3.1%，同比增长6.8%。总的来说，本月环比跌幅不足一成，同比增幅超过七成，近三个月销量稳定。</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从区域来看，西陵区成交355套，占比高达41%，位居第一；伍家区成交235套，占比27%，排名第二；夷陵区成交162套，占比19%，排名第三。</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pStyle w:val="2"/>
              <w:keepNext w:val="0"/>
              <w:keepLines w:val="0"/>
              <w:widowControl/>
              <w:suppressLineNumbers w:val="0"/>
              <w:spacing w:line="24" w:lineRule="atLeast"/>
              <w:jc w:val="center"/>
            </w:pPr>
            <w:r>
              <w:rPr>
                <w:caps w:val="0"/>
                <w:color w:val="000000"/>
                <w:spacing w:val="0"/>
                <w:sz w:val="24"/>
                <w:szCs w:val="24"/>
                <w:lang w:val="en-US"/>
              </w:rPr>
              <w:t>第二部分   土地市场分析</w:t>
            </w:r>
          </w:p>
          <w:p>
            <w:pPr>
              <w:pStyle w:val="3"/>
              <w:keepNext w:val="0"/>
              <w:keepLines w:val="0"/>
              <w:widowControl/>
              <w:suppressLineNumbers w:val="0"/>
              <w:spacing w:line="24" w:lineRule="atLeast"/>
            </w:pPr>
            <w:bookmarkStart w:id="5" w:name="_Toc398024655"/>
            <w:bookmarkEnd w:id="5"/>
            <w:bookmarkStart w:id="6" w:name="_Toc384797622"/>
            <w:bookmarkEnd w:id="6"/>
            <w:bookmarkStart w:id="7" w:name="_Toc384797306"/>
            <w:bookmarkEnd w:id="7"/>
            <w:bookmarkStart w:id="8" w:name="_Toc384797224"/>
            <w:bookmarkEnd w:id="8"/>
            <w:bookmarkStart w:id="9" w:name="_Toc384796965"/>
            <w:bookmarkEnd w:id="9"/>
            <w:bookmarkStart w:id="10" w:name="_Toc380050036"/>
            <w:bookmarkEnd w:id="10"/>
            <w:bookmarkStart w:id="11" w:name="_Toc353178132"/>
            <w:bookmarkEnd w:id="11"/>
            <w:bookmarkStart w:id="12" w:name="_Toc347757546"/>
            <w:bookmarkEnd w:id="12"/>
            <w:bookmarkStart w:id="13" w:name="_Toc339981458"/>
            <w:r>
              <w:rPr>
                <w:caps w:val="0"/>
                <w:color w:val="000000"/>
                <w:spacing w:val="0"/>
                <w:lang w:val="en-US"/>
              </w:rPr>
              <w:t>一、土地供应市场解析</w:t>
            </w:r>
            <w:bookmarkEnd w:id="13"/>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bookmarkStart w:id="14" w:name="_Toc380050037"/>
            <w:bookmarkEnd w:id="14"/>
            <w:bookmarkStart w:id="15" w:name="_Toc350245826"/>
            <w:r>
              <w:rPr>
                <w:rFonts w:hint="eastAsia" w:ascii="宋体" w:hAnsi="宋体" w:eastAsia="宋体" w:cs="宋体"/>
                <w:b/>
                <w:caps w:val="0"/>
                <w:color w:val="000000"/>
                <w:spacing w:val="0"/>
                <w:kern w:val="0"/>
                <w:sz w:val="14"/>
                <w:szCs w:val="14"/>
                <w:lang w:val="en-US" w:eastAsia="zh-CN" w:bidi="ar"/>
              </w:rPr>
              <w:t>1</w:t>
            </w:r>
            <w:bookmarkEnd w:id="15"/>
            <w:r>
              <w:rPr>
                <w:rFonts w:hint="eastAsia" w:ascii="宋体" w:hAnsi="宋体" w:eastAsia="宋体" w:cs="宋体"/>
                <w:b/>
                <w:caps w:val="0"/>
                <w:color w:val="000000"/>
                <w:spacing w:val="0"/>
                <w:kern w:val="0"/>
                <w:sz w:val="14"/>
                <w:szCs w:val="14"/>
                <w:lang w:val="en-US" w:eastAsia="zh-CN" w:bidi="ar"/>
              </w:rPr>
              <w:t>、土地供应情况</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本月宜昌城区出让土地22宗，出让面积102.36万方，出让总额约16.54亿元。与上月相比，地块增加了21宗，面积增加了101.14万方，环比大幅增长；但与去年同期相比，地块减少了5宗，面积减少了10.32万方。</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color w:val="000000"/>
                <w:spacing w:val="0"/>
                <w:sz w:val="14"/>
                <w:szCs w:val="14"/>
                <w:lang w:val="en-US"/>
              </w:rPr>
            </w:pPr>
            <w:r>
              <w:rPr>
                <w:rFonts w:hint="eastAsia" w:ascii="宋体" w:hAnsi="宋体" w:eastAsia="宋体" w:cs="宋体"/>
                <w:b/>
                <w:caps w:val="0"/>
                <w:color w:val="000000"/>
                <w:spacing w:val="0"/>
                <w:kern w:val="0"/>
                <w:sz w:val="14"/>
                <w:szCs w:val="14"/>
                <w:lang w:val="en-US" w:eastAsia="zh-CN" w:bidi="ar"/>
              </w:rPr>
              <w:t>           2016年7月宜昌城区土地供应情况</w:t>
            </w:r>
          </w:p>
          <w:p>
            <w:pPr>
              <w:keepNext w:val="0"/>
              <w:keepLines w:val="0"/>
              <w:widowControl/>
              <w:suppressLineNumbers w:val="0"/>
              <w:spacing w:line="24" w:lineRule="atLeast"/>
              <w:ind w:left="0" w:firstLine="0"/>
              <w:jc w:val="center"/>
              <w:rPr>
                <w:rFonts w:hint="eastAsia" w:ascii="宋体" w:hAnsi="宋体" w:eastAsia="宋体" w:cs="宋体"/>
                <w:caps w:val="0"/>
                <w:color w:val="000000"/>
                <w:spacing w:val="0"/>
                <w:sz w:val="14"/>
                <w:szCs w:val="14"/>
                <w:lang w:val="en-US"/>
              </w:rPr>
            </w:pPr>
            <w:r>
              <w:rPr>
                <w:rStyle w:val="7"/>
                <w:rFonts w:hint="eastAsia" w:ascii="宋体" w:hAnsi="宋体" w:eastAsia="宋体" w:cs="宋体"/>
                <w:caps w:val="0"/>
                <w:color w:val="000000"/>
                <w:spacing w:val="0"/>
                <w:kern w:val="0"/>
                <w:sz w:val="14"/>
                <w:szCs w:val="14"/>
                <w:lang w:val="en-US" w:eastAsia="zh-CN" w:bidi="ar"/>
              </w:rPr>
              <w:drawing>
                <wp:inline distT="0" distB="0" distL="114300" distR="114300">
                  <wp:extent cx="4762500" cy="3371850"/>
                  <wp:effectExtent l="0" t="0" r="7620" b="11430"/>
                  <wp:docPr id="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61"/>
                          <pic:cNvPicPr>
                            <a:picLocks noChangeAspect="1"/>
                          </pic:cNvPicPr>
                        </pic:nvPicPr>
                        <pic:blipFill>
                          <a:blip r:embed="rId9"/>
                          <a:stretch>
                            <a:fillRect/>
                          </a:stretch>
                        </pic:blipFill>
                        <pic:spPr>
                          <a:xfrm>
                            <a:off x="0" y="0"/>
                            <a:ext cx="4762500" cy="33718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pStyle w:val="4"/>
              <w:keepNext w:val="0"/>
              <w:keepLines w:val="0"/>
              <w:widowControl/>
              <w:suppressLineNumbers w:val="0"/>
              <w:spacing w:line="24" w:lineRule="atLeast"/>
              <w:jc w:val="center"/>
            </w:pPr>
            <w:r>
              <w:rPr>
                <w:rStyle w:val="7"/>
                <w:rFonts w:hint="eastAsia" w:ascii="宋体" w:hAnsi="宋体" w:eastAsia="宋体" w:cs="宋体"/>
                <w:caps w:val="0"/>
                <w:color w:val="000000"/>
                <w:spacing w:val="0"/>
                <w:sz w:val="14"/>
                <w:szCs w:val="14"/>
                <w:lang w:val="en-US"/>
              </w:rPr>
              <w:drawing>
                <wp:inline distT="0" distB="0" distL="114300" distR="114300">
                  <wp:extent cx="6553200" cy="2181225"/>
                  <wp:effectExtent l="0" t="0" r="0" b="13335"/>
                  <wp:docPr id="1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IMG_262"/>
                          <pic:cNvPicPr>
                            <a:picLocks noChangeAspect="1"/>
                          </pic:cNvPicPr>
                        </pic:nvPicPr>
                        <pic:blipFill>
                          <a:blip r:embed="rId10"/>
                          <a:stretch>
                            <a:fillRect/>
                          </a:stretch>
                        </pic:blipFill>
                        <pic:spPr>
                          <a:xfrm>
                            <a:off x="0" y="0"/>
                            <a:ext cx="6553200" cy="21812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b/>
                <w:caps w:val="0"/>
                <w:color w:val="000000"/>
                <w:spacing w:val="0"/>
                <w:kern w:val="0"/>
                <w:sz w:val="14"/>
                <w:szCs w:val="14"/>
                <w:lang w:val="en-US" w:eastAsia="zh-CN" w:bidi="ar"/>
              </w:rPr>
              <w:t>2、出让土地特征</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b/>
                <w:caps w:val="0"/>
                <w:color w:val="000000"/>
                <w:spacing w:val="0"/>
                <w:kern w:val="0"/>
                <w:sz w:val="14"/>
                <w:szCs w:val="14"/>
                <w:lang w:val="en-US" w:eastAsia="zh-CN" w:bidi="ar"/>
              </w:rPr>
              <w:t>从用地性质来看</w:t>
            </w:r>
            <w:r>
              <w:rPr>
                <w:rFonts w:hint="eastAsia" w:ascii="宋体" w:hAnsi="宋体" w:eastAsia="宋体" w:cs="宋体"/>
                <w:caps w:val="0"/>
                <w:color w:val="000000"/>
                <w:spacing w:val="0"/>
                <w:kern w:val="0"/>
                <w:sz w:val="14"/>
                <w:szCs w:val="14"/>
                <w:lang w:val="en-US" w:eastAsia="zh-CN" w:bidi="ar"/>
              </w:rPr>
              <w:t>，本月出让</w:t>
            </w:r>
            <w:r>
              <w:rPr>
                <w:rFonts w:hint="eastAsia" w:ascii="宋体" w:hAnsi="宋体" w:eastAsia="宋体" w:cs="宋体"/>
                <w:b/>
                <w:caps w:val="0"/>
                <w:color w:val="000000"/>
                <w:spacing w:val="0"/>
                <w:kern w:val="0"/>
                <w:sz w:val="14"/>
                <w:szCs w:val="14"/>
                <w:lang w:val="en-US" w:eastAsia="zh-CN" w:bidi="ar"/>
              </w:rPr>
              <w:t>住宅及商业用地12宗</w:t>
            </w:r>
            <w:r>
              <w:rPr>
                <w:rFonts w:hint="eastAsia" w:ascii="宋体" w:hAnsi="宋体" w:eastAsia="宋体" w:cs="宋体"/>
                <w:caps w:val="0"/>
                <w:color w:val="000000"/>
                <w:spacing w:val="0"/>
                <w:kern w:val="0"/>
                <w:sz w:val="14"/>
                <w:szCs w:val="14"/>
                <w:lang w:val="en-US" w:eastAsia="zh-CN" w:bidi="ar"/>
              </w:rPr>
              <w:t>，土地面积约60万方，</w:t>
            </w:r>
            <w:r>
              <w:rPr>
                <w:rFonts w:hint="eastAsia" w:ascii="宋体" w:hAnsi="宋体" w:eastAsia="宋体" w:cs="宋体"/>
                <w:b/>
                <w:caps w:val="0"/>
                <w:color w:val="000000"/>
                <w:spacing w:val="0"/>
                <w:kern w:val="0"/>
                <w:sz w:val="14"/>
                <w:szCs w:val="14"/>
                <w:lang w:val="en-US" w:eastAsia="zh-CN" w:bidi="ar"/>
              </w:rPr>
              <w:t>预计未来放量约146万方</w:t>
            </w:r>
            <w:r>
              <w:rPr>
                <w:rFonts w:hint="eastAsia" w:ascii="宋体" w:hAnsi="宋体" w:eastAsia="宋体" w:cs="宋体"/>
                <w:caps w:val="0"/>
                <w:color w:val="000000"/>
                <w:spacing w:val="0"/>
                <w:kern w:val="0"/>
                <w:sz w:val="14"/>
                <w:szCs w:val="14"/>
                <w:lang w:val="en-US" w:eastAsia="zh-CN" w:bidi="ar"/>
              </w:rPr>
              <w:t>，出让工业用地6宗，商服用地4宗。</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b/>
                <w:caps w:val="0"/>
                <w:color w:val="000000"/>
                <w:spacing w:val="0"/>
                <w:kern w:val="0"/>
                <w:sz w:val="14"/>
                <w:szCs w:val="14"/>
                <w:lang w:val="en-US" w:eastAsia="zh-CN" w:bidi="ar"/>
              </w:rPr>
              <w:t>从区域来看</w:t>
            </w:r>
            <w:r>
              <w:rPr>
                <w:rFonts w:hint="eastAsia" w:ascii="宋体" w:hAnsi="宋体" w:eastAsia="宋体" w:cs="宋体"/>
                <w:caps w:val="0"/>
                <w:color w:val="000000"/>
                <w:spacing w:val="0"/>
                <w:kern w:val="0"/>
                <w:sz w:val="14"/>
                <w:szCs w:val="14"/>
                <w:lang w:val="en-US" w:eastAsia="zh-CN" w:bidi="ar"/>
              </w:rPr>
              <w:t>，夷陵区4宗，伍家区2宗，点军区8宗，高新区8宗（除了东山园区和白洋，其余6宗电子信息产业园均位于点军区桥边镇，后划为高新区）。本月出让地块</w:t>
            </w:r>
            <w:r>
              <w:rPr>
                <w:rFonts w:hint="eastAsia" w:ascii="宋体" w:hAnsi="宋体" w:eastAsia="宋体" w:cs="宋体"/>
                <w:b/>
                <w:caps w:val="0"/>
                <w:color w:val="000000"/>
                <w:spacing w:val="0"/>
                <w:kern w:val="0"/>
                <w:sz w:val="14"/>
                <w:szCs w:val="14"/>
                <w:lang w:val="en-US" w:eastAsia="zh-CN" w:bidi="ar"/>
              </w:rPr>
              <w:t>绝大多数位于点军区</w:t>
            </w:r>
            <w:r>
              <w:rPr>
                <w:rFonts w:hint="eastAsia" w:ascii="宋体" w:hAnsi="宋体" w:eastAsia="宋体" w:cs="宋体"/>
                <w:caps w:val="0"/>
                <w:color w:val="000000"/>
                <w:spacing w:val="0"/>
                <w:kern w:val="0"/>
                <w:sz w:val="14"/>
                <w:szCs w:val="14"/>
                <w:lang w:val="en-US" w:eastAsia="zh-CN" w:bidi="ar"/>
              </w:rPr>
              <w:t>，至喜大桥通车将带动点军经济发展，炒热片区土地，吸引更多开发商前来投资。</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b/>
                <w:caps w:val="0"/>
                <w:color w:val="000000"/>
                <w:spacing w:val="0"/>
                <w:kern w:val="0"/>
                <w:sz w:val="14"/>
                <w:szCs w:val="14"/>
                <w:lang w:val="en-US" w:eastAsia="zh-CN" w:bidi="ar"/>
              </w:rPr>
              <w:t>3、本月出让的住宅及商业用地详情</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b/>
                <w:caps w:val="0"/>
                <w:color w:val="000000"/>
                <w:spacing w:val="0"/>
                <w:kern w:val="0"/>
                <w:sz w:val="14"/>
                <w:szCs w:val="14"/>
                <w:lang w:val="en-US" w:eastAsia="zh-CN" w:bidi="ar"/>
              </w:rPr>
              <w:t>【宜土网挂（2016）24号】地块，</w:t>
            </w:r>
            <w:r>
              <w:rPr>
                <w:rFonts w:hint="eastAsia" w:ascii="宋体" w:hAnsi="宋体" w:eastAsia="宋体" w:cs="宋体"/>
                <w:caps w:val="0"/>
                <w:color w:val="000000"/>
                <w:spacing w:val="0"/>
                <w:kern w:val="0"/>
                <w:sz w:val="14"/>
                <w:szCs w:val="14"/>
                <w:lang w:val="en-US" w:eastAsia="zh-CN" w:bidi="ar"/>
              </w:rPr>
              <w:t>位于点军区点军大道北侧，用途为商住用地，出让面积为90910.46平方米（合136.37亩），容积率2.2，预计未来放量约20万方（只含地上建筑面积）。</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b/>
                <w:caps w:val="0"/>
                <w:color w:val="000000"/>
                <w:spacing w:val="0"/>
                <w:kern w:val="0"/>
                <w:sz w:val="14"/>
                <w:szCs w:val="14"/>
                <w:lang w:val="en-US" w:eastAsia="zh-CN" w:bidi="ar"/>
              </w:rPr>
              <w:t>【宜土网挂（2016）25号】地块，</w:t>
            </w:r>
            <w:r>
              <w:rPr>
                <w:rFonts w:hint="eastAsia" w:ascii="宋体" w:hAnsi="宋体" w:eastAsia="宋体" w:cs="宋体"/>
                <w:caps w:val="0"/>
                <w:color w:val="000000"/>
                <w:spacing w:val="0"/>
                <w:kern w:val="0"/>
                <w:sz w:val="14"/>
                <w:szCs w:val="14"/>
                <w:lang w:val="en-US" w:eastAsia="zh-CN" w:bidi="ar"/>
              </w:rPr>
              <w:t>位于伍家岗区合东路与岳湾路交汇处，用途为住宅用地，出让面积为26133.78平方米（合39.20亩），容积率1.8，预计未来放量约4.7万方（只含地上建筑面积）。</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b/>
                <w:caps w:val="0"/>
                <w:color w:val="000000"/>
                <w:spacing w:val="0"/>
                <w:kern w:val="0"/>
                <w:sz w:val="14"/>
                <w:szCs w:val="14"/>
                <w:lang w:val="en-US" w:eastAsia="zh-CN" w:bidi="ar"/>
              </w:rPr>
              <w:t>【宜土网挂（2016）26号】地块，</w:t>
            </w:r>
            <w:r>
              <w:rPr>
                <w:rFonts w:hint="eastAsia" w:ascii="宋体" w:hAnsi="宋体" w:eastAsia="宋体" w:cs="宋体"/>
                <w:caps w:val="0"/>
                <w:color w:val="000000"/>
                <w:spacing w:val="0"/>
                <w:kern w:val="0"/>
                <w:sz w:val="14"/>
                <w:szCs w:val="14"/>
                <w:lang w:val="en-US" w:eastAsia="zh-CN" w:bidi="ar"/>
              </w:rPr>
              <w:t>位于伍家岗区伍家乡合益村六组，用途为住宅用地，出让面积为11313.69平方米（合16.97亩），容积率2.5，预计未来放量约2.8万方（只含地上建筑面积）。</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b/>
                <w:caps w:val="0"/>
                <w:color w:val="000000"/>
                <w:spacing w:val="0"/>
                <w:kern w:val="0"/>
                <w:sz w:val="14"/>
                <w:szCs w:val="14"/>
                <w:lang w:val="en-US" w:eastAsia="zh-CN" w:bidi="ar"/>
              </w:rPr>
              <w:t>【宜土网挂（2016）31号】地块，</w:t>
            </w:r>
            <w:r>
              <w:rPr>
                <w:rFonts w:hint="eastAsia" w:ascii="宋体" w:hAnsi="宋体" w:eastAsia="宋体" w:cs="宋体"/>
                <w:caps w:val="0"/>
                <w:color w:val="000000"/>
                <w:spacing w:val="0"/>
                <w:kern w:val="0"/>
                <w:sz w:val="14"/>
                <w:szCs w:val="14"/>
                <w:lang w:val="en-US" w:eastAsia="zh-CN" w:bidi="ar"/>
              </w:rPr>
              <w:t>位于点军区五龙路南侧，用途为商住用地，出让面积为32204.51平方米（合48.31亩），容积率2.2，预计未来放量约7.1万方（只含地上建筑面积）。</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b/>
                <w:caps w:val="0"/>
                <w:color w:val="000000"/>
                <w:spacing w:val="0"/>
                <w:kern w:val="0"/>
                <w:sz w:val="14"/>
                <w:szCs w:val="14"/>
                <w:lang w:val="en-US" w:eastAsia="zh-CN" w:bidi="ar"/>
              </w:rPr>
              <w:t>【宜土网挂（2016）32号】地块，</w:t>
            </w:r>
            <w:r>
              <w:rPr>
                <w:rFonts w:hint="eastAsia" w:ascii="宋体" w:hAnsi="宋体" w:eastAsia="宋体" w:cs="宋体"/>
                <w:caps w:val="0"/>
                <w:color w:val="000000"/>
                <w:spacing w:val="0"/>
                <w:kern w:val="0"/>
                <w:sz w:val="14"/>
                <w:szCs w:val="14"/>
                <w:lang w:val="en-US" w:eastAsia="zh-CN" w:bidi="ar"/>
              </w:rPr>
              <w:t>位于点军区五龙路南侧，用途为商住用地，出让面积为75582.77平方米（合113.37亩），容积率2.2，预计未来放量约16.6万方（只含地上建筑面积）。</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b/>
                <w:caps w:val="0"/>
                <w:color w:val="000000"/>
                <w:spacing w:val="0"/>
                <w:kern w:val="0"/>
                <w:sz w:val="14"/>
                <w:szCs w:val="14"/>
                <w:lang w:val="en-US" w:eastAsia="zh-CN" w:bidi="ar"/>
              </w:rPr>
              <w:t>【宜土网挂（2016）33号】地块，</w:t>
            </w:r>
            <w:r>
              <w:rPr>
                <w:rFonts w:hint="eastAsia" w:ascii="宋体" w:hAnsi="宋体" w:eastAsia="宋体" w:cs="宋体"/>
                <w:caps w:val="0"/>
                <w:color w:val="000000"/>
                <w:spacing w:val="0"/>
                <w:kern w:val="0"/>
                <w:sz w:val="14"/>
                <w:szCs w:val="14"/>
                <w:lang w:val="en-US" w:eastAsia="zh-CN" w:bidi="ar"/>
              </w:rPr>
              <w:t>位于点军区五龙路南侧，用途为商住用地，出让面积为89412.97平方米（合134.12亩），容积率2.5，预计未来放量约22.4万方（只含地上建筑面积）。</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b/>
                <w:caps w:val="0"/>
                <w:color w:val="000000"/>
                <w:spacing w:val="0"/>
                <w:kern w:val="0"/>
                <w:sz w:val="14"/>
                <w:szCs w:val="14"/>
                <w:lang w:val="en-US" w:eastAsia="zh-CN" w:bidi="ar"/>
              </w:rPr>
              <w:t>【宜土网挂（2016）37号】地块，</w:t>
            </w:r>
            <w:r>
              <w:rPr>
                <w:rFonts w:hint="eastAsia" w:ascii="宋体" w:hAnsi="宋体" w:eastAsia="宋体" w:cs="宋体"/>
                <w:caps w:val="0"/>
                <w:color w:val="000000"/>
                <w:spacing w:val="0"/>
                <w:kern w:val="0"/>
                <w:sz w:val="14"/>
                <w:szCs w:val="14"/>
                <w:lang w:val="en-US" w:eastAsia="zh-CN" w:bidi="ar"/>
              </w:rPr>
              <w:t>位于宜昌高新区电子信息产业园将军路，用途为商住用地，出让面积为30923.56平方米（合46.39亩），容积率2.5，预计未来放量约7.7万方（只含地上建筑面积）。</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b/>
                <w:caps w:val="0"/>
                <w:color w:val="000000"/>
                <w:spacing w:val="0"/>
                <w:kern w:val="0"/>
                <w:sz w:val="14"/>
                <w:szCs w:val="14"/>
                <w:lang w:val="en-US" w:eastAsia="zh-CN" w:bidi="ar"/>
              </w:rPr>
              <w:t>【夷G（2016）19号】地块，</w:t>
            </w:r>
            <w:r>
              <w:rPr>
                <w:rFonts w:hint="eastAsia" w:ascii="宋体" w:hAnsi="宋体" w:eastAsia="宋体" w:cs="宋体"/>
                <w:caps w:val="0"/>
                <w:color w:val="000000"/>
                <w:spacing w:val="0"/>
                <w:kern w:val="0"/>
                <w:sz w:val="14"/>
                <w:szCs w:val="14"/>
                <w:lang w:val="en-US" w:eastAsia="zh-CN" w:bidi="ar"/>
              </w:rPr>
              <w:t> 位于小溪塔街道平湖大道，用途为住宅用地，出让面积为13692.95平方米（合20.54亩），容积率2.6，预计未来放量约3.6平方米（只含地上建筑面积）。</w:t>
            </w:r>
          </w:p>
          <w:p>
            <w:pPr>
              <w:keepNext w:val="0"/>
              <w:keepLines w:val="0"/>
              <w:widowControl/>
              <w:suppressLineNumbers w:val="0"/>
              <w:spacing w:line="24" w:lineRule="atLeast"/>
              <w:ind w:left="0" w:firstLine="0"/>
              <w:jc w:val="center"/>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pStyle w:val="3"/>
              <w:keepNext w:val="0"/>
              <w:keepLines w:val="0"/>
              <w:widowControl/>
              <w:suppressLineNumbers w:val="0"/>
              <w:spacing w:line="24" w:lineRule="atLeast"/>
              <w:jc w:val="center"/>
            </w:pPr>
            <w:r>
              <w:rPr>
                <w:caps w:val="0"/>
                <w:color w:val="000000"/>
                <w:spacing w:val="0"/>
                <w:sz w:val="24"/>
                <w:szCs w:val="24"/>
                <w:lang w:val="en-US"/>
              </w:rPr>
              <w:t>二、本月土地成交分析</w:t>
            </w:r>
          </w:p>
          <w:p>
            <w:pPr>
              <w:pStyle w:val="4"/>
              <w:keepNext w:val="0"/>
              <w:keepLines w:val="0"/>
              <w:widowControl/>
              <w:suppressLineNumbers w:val="0"/>
              <w:spacing w:line="24" w:lineRule="atLeast"/>
              <w:jc w:val="center"/>
            </w:pPr>
            <w:r>
              <w:rPr>
                <w:rFonts w:hint="eastAsia" w:ascii="宋体" w:hAnsi="宋体" w:eastAsia="宋体" w:cs="宋体"/>
                <w:caps w:val="0"/>
                <w:color w:val="000000"/>
                <w:spacing w:val="0"/>
                <w:sz w:val="14"/>
                <w:szCs w:val="14"/>
                <w:lang w:val="en-US"/>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b/>
                <w:caps w:val="0"/>
                <w:color w:val="000000"/>
                <w:spacing w:val="0"/>
                <w:kern w:val="0"/>
                <w:sz w:val="14"/>
                <w:szCs w:val="14"/>
                <w:lang w:val="en-US" w:eastAsia="zh-CN" w:bidi="ar"/>
              </w:rPr>
              <w:t>1、土地成交情况</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本月成交土地3宗，</w:t>
            </w:r>
            <w:r>
              <w:rPr>
                <w:rFonts w:hint="eastAsia" w:ascii="宋体" w:hAnsi="宋体" w:eastAsia="宋体" w:cs="宋体"/>
                <w:b/>
                <w:caps w:val="0"/>
                <w:color w:val="000000"/>
                <w:spacing w:val="0"/>
                <w:kern w:val="0"/>
                <w:sz w:val="14"/>
                <w:szCs w:val="14"/>
                <w:lang w:val="en-US" w:eastAsia="zh-CN" w:bidi="ar"/>
              </w:rPr>
              <w:t>成交面积6.58万方</w:t>
            </w:r>
            <w:r>
              <w:rPr>
                <w:rFonts w:hint="eastAsia" w:ascii="宋体" w:hAnsi="宋体" w:eastAsia="宋体" w:cs="宋体"/>
                <w:caps w:val="0"/>
                <w:color w:val="000000"/>
                <w:spacing w:val="0"/>
                <w:kern w:val="0"/>
                <w:sz w:val="14"/>
                <w:szCs w:val="14"/>
                <w:lang w:val="en-US" w:eastAsia="zh-CN" w:bidi="ar"/>
              </w:rPr>
              <w:t>，成交总额约1.90亿元，</w:t>
            </w:r>
            <w:r>
              <w:rPr>
                <w:rFonts w:hint="eastAsia" w:ascii="宋体" w:hAnsi="宋体" w:eastAsia="宋体" w:cs="宋体"/>
                <w:b/>
                <w:caps w:val="0"/>
                <w:color w:val="000000"/>
                <w:spacing w:val="0"/>
                <w:kern w:val="0"/>
                <w:sz w:val="14"/>
                <w:szCs w:val="14"/>
                <w:lang w:val="en-US" w:eastAsia="zh-CN" w:bidi="ar"/>
              </w:rPr>
              <w:t>成交均价约19.24万元/亩。</w:t>
            </w:r>
            <w:r>
              <w:rPr>
                <w:rFonts w:hint="eastAsia" w:ascii="宋体" w:hAnsi="宋体" w:eastAsia="宋体" w:cs="宋体"/>
                <w:caps w:val="0"/>
                <w:color w:val="000000"/>
                <w:spacing w:val="0"/>
                <w:kern w:val="0"/>
                <w:sz w:val="14"/>
                <w:szCs w:val="14"/>
                <w:lang w:val="en-US" w:eastAsia="zh-CN" w:bidi="ar"/>
              </w:rPr>
              <w:t>与上月相比，地块减少了10宗，面积减少了37.00万方，</w:t>
            </w:r>
            <w:r>
              <w:rPr>
                <w:rFonts w:hint="eastAsia" w:ascii="宋体" w:hAnsi="宋体" w:eastAsia="宋体" w:cs="宋体"/>
                <w:b/>
                <w:caps w:val="0"/>
                <w:color w:val="000000"/>
                <w:spacing w:val="0"/>
                <w:kern w:val="0"/>
                <w:sz w:val="14"/>
                <w:szCs w:val="14"/>
                <w:lang w:val="en-US" w:eastAsia="zh-CN" w:bidi="ar"/>
              </w:rPr>
              <w:t>环比下跌84.90%</w:t>
            </w:r>
            <w:r>
              <w:rPr>
                <w:rFonts w:hint="eastAsia" w:ascii="宋体" w:hAnsi="宋体" w:eastAsia="宋体" w:cs="宋体"/>
                <w:caps w:val="0"/>
                <w:color w:val="000000"/>
                <w:spacing w:val="0"/>
                <w:kern w:val="0"/>
                <w:sz w:val="14"/>
                <w:szCs w:val="14"/>
                <w:lang w:val="en-US" w:eastAsia="zh-CN" w:bidi="ar"/>
              </w:rPr>
              <w:t>；与去年7月相比，地块减少了2宗，面积减少了52.57万方，</w:t>
            </w:r>
            <w:r>
              <w:rPr>
                <w:rFonts w:hint="eastAsia" w:ascii="宋体" w:hAnsi="宋体" w:eastAsia="宋体" w:cs="宋体"/>
                <w:b/>
                <w:caps w:val="0"/>
                <w:color w:val="000000"/>
                <w:spacing w:val="0"/>
                <w:kern w:val="0"/>
                <w:sz w:val="14"/>
                <w:szCs w:val="14"/>
                <w:lang w:val="en-US" w:eastAsia="zh-CN" w:bidi="ar"/>
              </w:rPr>
              <w:t>同比下跌88.87%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Style w:val="7"/>
                <w:rFonts w:hint="eastAsia" w:ascii="宋体" w:hAnsi="宋体" w:eastAsia="宋体" w:cs="宋体"/>
                <w:caps w:val="0"/>
                <w:color w:val="000000"/>
                <w:spacing w:val="0"/>
                <w:kern w:val="0"/>
                <w:sz w:val="14"/>
                <w:szCs w:val="14"/>
                <w:lang w:val="en-US" w:eastAsia="zh-CN" w:bidi="ar"/>
              </w:rPr>
              <w:drawing>
                <wp:inline distT="0" distB="0" distL="114300" distR="114300">
                  <wp:extent cx="8153400" cy="1543050"/>
                  <wp:effectExtent l="0" t="0" r="0" b="11430"/>
                  <wp:docPr id="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63"/>
                          <pic:cNvPicPr>
                            <a:picLocks noChangeAspect="1"/>
                          </pic:cNvPicPr>
                        </pic:nvPicPr>
                        <pic:blipFill>
                          <a:blip r:embed="rId11"/>
                          <a:stretch>
                            <a:fillRect/>
                          </a:stretch>
                        </pic:blipFill>
                        <pic:spPr>
                          <a:xfrm>
                            <a:off x="0" y="0"/>
                            <a:ext cx="8153400" cy="15430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b/>
                <w:caps w:val="0"/>
                <w:color w:val="000000"/>
                <w:spacing w:val="0"/>
                <w:kern w:val="0"/>
                <w:sz w:val="14"/>
                <w:szCs w:val="14"/>
                <w:lang w:val="en-US" w:eastAsia="zh-CN" w:bidi="ar"/>
              </w:rPr>
              <w:t>2、成交土地特征</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从用地性质来看，本月成交地块均为工业用地；从区域来看，均位于高新区（电子信息产业园之前属于点军区桥边镇，后化为高新区）。</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b/>
                <w:caps w:val="0"/>
                <w:color w:val="000000"/>
                <w:spacing w:val="0"/>
                <w:kern w:val="0"/>
                <w:sz w:val="14"/>
                <w:szCs w:val="14"/>
                <w:lang w:val="en-US" w:eastAsia="zh-CN" w:bidi="ar"/>
              </w:rPr>
              <w:t>3、土地市场成交走势</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宜昌土地交易市场近半年成交量一直比较低迷，本月仅成交3宗工业用地，且连续两月没有商住用地成交。据统计</w:t>
            </w:r>
            <w:r>
              <w:rPr>
                <w:rFonts w:hint="eastAsia" w:ascii="宋体" w:hAnsi="宋体" w:eastAsia="宋体" w:cs="宋体"/>
                <w:b/>
                <w:caps w:val="0"/>
                <w:color w:val="000000"/>
                <w:spacing w:val="0"/>
                <w:kern w:val="0"/>
                <w:sz w:val="14"/>
                <w:szCs w:val="14"/>
                <w:lang w:val="en-US" w:eastAsia="zh-CN" w:bidi="ar"/>
              </w:rPr>
              <w:t>2016年截止到目前共成交10宗商住用地，土地面积约26万方，预计未来放量约64万方</w:t>
            </w:r>
            <w:r>
              <w:rPr>
                <w:rFonts w:hint="eastAsia" w:ascii="宋体" w:hAnsi="宋体" w:eastAsia="宋体" w:cs="宋体"/>
                <w:caps w:val="0"/>
                <w:color w:val="000000"/>
                <w:spacing w:val="0"/>
                <w:kern w:val="0"/>
                <w:sz w:val="14"/>
                <w:szCs w:val="14"/>
                <w:lang w:val="en-US" w:eastAsia="zh-CN" w:bidi="ar"/>
              </w:rPr>
              <w:t>，而近期住宅每月销售比较稳定，市场主力去库存，后续压力稍减。由于本月成交地块均为工业用地，且都位于高新区（原点军区桥边镇）因此价格不高。至喜大桥的通车，拉尽了点军与主城区的距离，加上本月供应土地绝大多数位于点军区，后续点军将成为开发热点。</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pStyle w:val="4"/>
              <w:keepNext w:val="0"/>
              <w:keepLines w:val="0"/>
              <w:widowControl/>
              <w:suppressLineNumbers w:val="0"/>
              <w:spacing w:line="24" w:lineRule="atLeast"/>
              <w:jc w:val="center"/>
            </w:pPr>
            <w:r>
              <w:rPr>
                <w:rFonts w:hint="eastAsia" w:ascii="宋体" w:hAnsi="宋体" w:eastAsia="宋体" w:cs="宋体"/>
                <w:caps w:val="0"/>
                <w:color w:val="000000"/>
                <w:spacing w:val="0"/>
                <w:sz w:val="14"/>
                <w:szCs w:val="14"/>
                <w:lang w:val="en-US"/>
              </w:rPr>
              <w:drawing>
                <wp:inline distT="0" distB="0" distL="114300" distR="114300">
                  <wp:extent cx="6362700" cy="6096000"/>
                  <wp:effectExtent l="0" t="0" r="7620" b="0"/>
                  <wp:docPr id="1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IMG_264"/>
                          <pic:cNvPicPr>
                            <a:picLocks noChangeAspect="1"/>
                          </pic:cNvPicPr>
                        </pic:nvPicPr>
                        <pic:blipFill>
                          <a:blip r:embed="rId12"/>
                          <a:stretch>
                            <a:fillRect/>
                          </a:stretch>
                        </pic:blipFill>
                        <pic:spPr>
                          <a:xfrm>
                            <a:off x="0" y="0"/>
                            <a:ext cx="6362700" cy="60960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pStyle w:val="2"/>
              <w:keepNext w:val="0"/>
              <w:keepLines w:val="0"/>
              <w:widowControl/>
              <w:suppressLineNumbers w:val="0"/>
              <w:spacing w:line="24" w:lineRule="atLeast"/>
              <w:jc w:val="center"/>
            </w:pPr>
            <w:r>
              <w:rPr>
                <w:caps w:val="0"/>
                <w:color w:val="000000"/>
                <w:spacing w:val="0"/>
                <w:sz w:val="24"/>
                <w:szCs w:val="24"/>
                <w:lang w:val="en-US"/>
              </w:rPr>
              <w:t>第三部分   各区楼市表现</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b/>
                <w:caps w:val="0"/>
                <w:color w:val="000000"/>
                <w:spacing w:val="0"/>
                <w:kern w:val="0"/>
                <w:sz w:val="14"/>
                <w:szCs w:val="14"/>
                <w:lang w:val="en-US" w:eastAsia="zh-CN" w:bidi="ar"/>
              </w:rPr>
              <w:t>宜昌楼市主要动态</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l </w:t>
            </w:r>
            <w:r>
              <w:rPr>
                <w:rFonts w:hint="eastAsia" w:ascii="宋体" w:hAnsi="宋体" w:eastAsia="宋体" w:cs="宋体"/>
                <w:b/>
                <w:caps w:val="0"/>
                <w:color w:val="000000"/>
                <w:spacing w:val="0"/>
                <w:kern w:val="0"/>
                <w:sz w:val="14"/>
                <w:szCs w:val="14"/>
                <w:lang w:val="en-US" w:eastAsia="zh-CN" w:bidi="ar"/>
              </w:rPr>
              <w:t>本月接受认筹的项目有：</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恒和香樟里认筹1万抵3万；</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宏信·公园里二期认筹1万抵2万；</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繁荣世家3号楼认筹1万抵3万；</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宜化·巴黎香颂三期认筹1万抵5万；</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恒大山水城VIP团购2千享3万开盘额外优惠。</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l </w:t>
            </w:r>
            <w:r>
              <w:rPr>
                <w:rFonts w:hint="eastAsia" w:ascii="宋体" w:hAnsi="宋体" w:eastAsia="宋体" w:cs="宋体"/>
                <w:b/>
                <w:caps w:val="0"/>
                <w:color w:val="000000"/>
                <w:spacing w:val="0"/>
                <w:kern w:val="0"/>
                <w:sz w:val="14"/>
                <w:szCs w:val="14"/>
                <w:lang w:val="en-US" w:eastAsia="zh-CN" w:bidi="ar"/>
              </w:rPr>
              <w:t>本月开盘的项目有：</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恒大帝景i+公馆7月2日开盘；</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恒和香樟里1、2号楼7月23日开盘；</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碧桂园·御园34、35号楼7月23日加推；</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清能碧桂园28、34号楼7月加推；</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春华星运城1、8号楼7月加推；</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中兴国际花园6号楼7月加推；</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城中半岛10号楼7月加推；</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山水华庭五期17号楼7月加推；</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中兴广场·九号公馆7月31日开盘。</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l </w:t>
            </w:r>
            <w:r>
              <w:rPr>
                <w:rFonts w:hint="eastAsia" w:ascii="宋体" w:hAnsi="宋体" w:eastAsia="宋体" w:cs="宋体"/>
                <w:b/>
                <w:caps w:val="0"/>
                <w:color w:val="000000"/>
                <w:spacing w:val="0"/>
                <w:kern w:val="0"/>
                <w:sz w:val="14"/>
                <w:szCs w:val="14"/>
                <w:lang w:val="en-US" w:eastAsia="zh-CN" w:bidi="ar"/>
              </w:rPr>
              <w:t>主城区重点项目及行业相关动态：</w:t>
            </w:r>
            <w:bookmarkStart w:id="16" w:name="_Toc398024658"/>
            <w:bookmarkEnd w:id="16"/>
            <w:bookmarkStart w:id="17" w:name="_Toc384797625"/>
            <w:bookmarkEnd w:id="17"/>
            <w:bookmarkStart w:id="18" w:name="_Toc384797309"/>
            <w:bookmarkEnd w:id="18"/>
            <w:bookmarkStart w:id="19" w:name="_Toc384797227"/>
            <w:bookmarkEnd w:id="19"/>
            <w:bookmarkStart w:id="20" w:name="_Toc384796968"/>
            <w:bookmarkEnd w:id="20"/>
            <w:bookmarkStart w:id="21" w:name="_Toc380050041"/>
            <w:bookmarkEnd w:id="21"/>
            <w:bookmarkStart w:id="22" w:name="_Toc353178136"/>
            <w:bookmarkEnd w:id="22"/>
            <w:bookmarkStart w:id="23" w:name="_Toc347757549"/>
            <w:bookmarkEnd w:id="23"/>
            <w:bookmarkStart w:id="24" w:name="_Toc345167233"/>
            <w:bookmarkEnd w:id="24"/>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7月2-3日，宜昌碧桂园“清凉夏日·烧烤电影狂欢节”；</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7月9日，半山雲庭样板间开放；</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7月15日，恒大山水城营销中心开放暨产品发布会；</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7月16日，中兴广场·九号公馆样板间开放；</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7月22日，恒大山水城“玛雅水世界·狂欢嘉年华”；</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7月30日，宜昌碧桂园萤火虫之夜。</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pStyle w:val="3"/>
              <w:keepNext w:val="0"/>
              <w:keepLines w:val="0"/>
              <w:widowControl/>
              <w:suppressLineNumbers w:val="0"/>
              <w:spacing w:line="24" w:lineRule="atLeast"/>
              <w:jc w:val="left"/>
            </w:pPr>
            <w:r>
              <w:rPr>
                <w:caps w:val="0"/>
                <w:color w:val="000000"/>
                <w:spacing w:val="0"/>
                <w:sz w:val="24"/>
                <w:szCs w:val="24"/>
                <w:lang w:val="en-US"/>
              </w:rPr>
              <w:t>一、西陵区</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b/>
                <w:caps w:val="0"/>
                <w:color w:val="000000"/>
                <w:spacing w:val="0"/>
                <w:kern w:val="0"/>
                <w:sz w:val="14"/>
                <w:szCs w:val="14"/>
                <w:lang w:val="en-US" w:eastAsia="zh-CN" w:bidi="ar"/>
              </w:rPr>
              <w:t>1、区内主要楼盘动态</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drawing>
                <wp:inline distT="0" distB="0" distL="114300" distR="114300">
                  <wp:extent cx="5600700" cy="5715000"/>
                  <wp:effectExtent l="0" t="0" r="7620" b="0"/>
                  <wp:docPr id="7"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IMG_265"/>
                          <pic:cNvPicPr>
                            <a:picLocks noChangeAspect="1"/>
                          </pic:cNvPicPr>
                        </pic:nvPicPr>
                        <pic:blipFill>
                          <a:blip r:embed="rId13"/>
                          <a:stretch>
                            <a:fillRect/>
                          </a:stretch>
                        </pic:blipFill>
                        <pic:spPr>
                          <a:xfrm>
                            <a:off x="0" y="0"/>
                            <a:ext cx="5600700" cy="57150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b/>
                <w:caps w:val="0"/>
                <w:color w:val="000000"/>
                <w:spacing w:val="0"/>
                <w:kern w:val="0"/>
                <w:sz w:val="14"/>
                <w:szCs w:val="14"/>
                <w:lang w:val="en-US" w:eastAsia="zh-CN" w:bidi="ar"/>
              </w:rPr>
              <w:t>2、区内新项目调查</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b/>
                <w:caps w:val="0"/>
                <w:color w:val="000000"/>
                <w:spacing w:val="0"/>
                <w:kern w:val="0"/>
                <w:sz w:val="14"/>
                <w:szCs w:val="14"/>
                <w:lang w:val="en-US" w:eastAsia="zh-CN" w:bidi="ar"/>
              </w:rPr>
              <w:t>□项目名称：</w:t>
            </w:r>
            <w:r>
              <w:rPr>
                <w:rFonts w:hint="eastAsia" w:ascii="宋体" w:hAnsi="宋体" w:eastAsia="宋体" w:cs="宋体"/>
                <w:caps w:val="0"/>
                <w:color w:val="000000"/>
                <w:spacing w:val="0"/>
                <w:kern w:val="0"/>
                <w:sz w:val="14"/>
                <w:szCs w:val="14"/>
                <w:lang w:val="en-US" w:eastAsia="zh-CN" w:bidi="ar"/>
              </w:rPr>
              <w:t>恒和香樟里</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b/>
                <w:caps w:val="0"/>
                <w:color w:val="000000"/>
                <w:spacing w:val="0"/>
                <w:kern w:val="0"/>
                <w:sz w:val="14"/>
                <w:szCs w:val="14"/>
                <w:lang w:val="en-US" w:eastAsia="zh-CN" w:bidi="ar"/>
              </w:rPr>
              <w:t>□地理位置：</w:t>
            </w:r>
            <w:r>
              <w:rPr>
                <w:rFonts w:hint="eastAsia" w:ascii="宋体" w:hAnsi="宋体" w:eastAsia="宋体" w:cs="宋体"/>
                <w:caps w:val="0"/>
                <w:color w:val="000000"/>
                <w:spacing w:val="0"/>
                <w:kern w:val="0"/>
                <w:sz w:val="14"/>
                <w:szCs w:val="14"/>
                <w:lang w:val="en-US" w:eastAsia="zh-CN" w:bidi="ar"/>
              </w:rPr>
              <w:t>西陵区体育场路13号（体育场路与白龙井路交汇处）</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b/>
                <w:caps w:val="0"/>
                <w:color w:val="000000"/>
                <w:spacing w:val="0"/>
                <w:kern w:val="0"/>
                <w:sz w:val="14"/>
                <w:szCs w:val="14"/>
                <w:lang w:val="en-US" w:eastAsia="zh-CN" w:bidi="ar"/>
              </w:rPr>
              <w:t>□开 发 商：</w:t>
            </w:r>
            <w:r>
              <w:rPr>
                <w:rFonts w:hint="eastAsia" w:ascii="宋体" w:hAnsi="宋体" w:eastAsia="宋体" w:cs="宋体"/>
                <w:caps w:val="0"/>
                <w:color w:val="000000"/>
                <w:spacing w:val="0"/>
                <w:kern w:val="0"/>
                <w:sz w:val="14"/>
                <w:szCs w:val="14"/>
                <w:lang w:val="en-US" w:eastAsia="zh-CN" w:bidi="ar"/>
              </w:rPr>
              <w:t>武汉轻工建筑设计有限公司、宜昌恒和置业有限公司</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b/>
                <w:caps w:val="0"/>
                <w:color w:val="000000"/>
                <w:spacing w:val="0"/>
                <w:kern w:val="0"/>
                <w:sz w:val="14"/>
                <w:szCs w:val="14"/>
                <w:lang w:val="en-US" w:eastAsia="zh-CN" w:bidi="ar"/>
              </w:rPr>
              <w:t>□开发规模：</w:t>
            </w:r>
            <w:r>
              <w:rPr>
                <w:rFonts w:hint="eastAsia" w:ascii="宋体" w:hAnsi="宋体" w:eastAsia="宋体" w:cs="宋体"/>
                <w:caps w:val="0"/>
                <w:color w:val="000000"/>
                <w:spacing w:val="0"/>
                <w:kern w:val="0"/>
                <w:sz w:val="14"/>
                <w:szCs w:val="14"/>
                <w:lang w:val="en-US" w:eastAsia="zh-CN" w:bidi="ar"/>
              </w:rPr>
              <w:t>项目占地面积1.7万方，总建筑面积约6万方，住宅总户数487户，配备386个停车位。容积率2.8，绿化率36.80%。</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b/>
                <w:caps w:val="0"/>
                <w:color w:val="000000"/>
                <w:spacing w:val="0"/>
                <w:kern w:val="0"/>
                <w:sz w:val="14"/>
                <w:szCs w:val="14"/>
                <w:lang w:val="en-US" w:eastAsia="zh-CN" w:bidi="ar"/>
              </w:rPr>
              <w:t>□规划要点：</w:t>
            </w:r>
            <w:r>
              <w:rPr>
                <w:rFonts w:hint="eastAsia" w:ascii="宋体" w:hAnsi="宋体" w:eastAsia="宋体" w:cs="宋体"/>
                <w:caps w:val="0"/>
                <w:color w:val="000000"/>
                <w:spacing w:val="0"/>
                <w:kern w:val="0"/>
                <w:sz w:val="14"/>
                <w:szCs w:val="14"/>
                <w:lang w:val="en-US" w:eastAsia="zh-CN" w:bidi="ar"/>
              </w:rPr>
              <w:t>6栋住宅楼呈点式分布，采光、通风、景观得到最大保证。</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b/>
                <w:caps w:val="0"/>
                <w:color w:val="000000"/>
                <w:spacing w:val="0"/>
                <w:kern w:val="0"/>
                <w:sz w:val="14"/>
                <w:szCs w:val="14"/>
                <w:lang w:val="en-US" w:eastAsia="zh-CN" w:bidi="ar"/>
              </w:rPr>
              <w:t>□主力户型</w:t>
            </w:r>
            <w:r>
              <w:rPr>
                <w:rFonts w:hint="eastAsia" w:ascii="宋体" w:hAnsi="宋体" w:eastAsia="宋体" w:cs="宋体"/>
                <w:caps w:val="0"/>
                <w:color w:val="000000"/>
                <w:spacing w:val="0"/>
                <w:kern w:val="0"/>
                <w:sz w:val="14"/>
                <w:szCs w:val="14"/>
                <w:lang w:val="en-US" w:eastAsia="zh-CN" w:bidi="ar"/>
              </w:rPr>
              <w:t>：71/74㎡两房一卫   88㎡蝶变三房   110㎡三房一卫   124㎡三房两卫</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drawing>
                <wp:inline distT="0" distB="0" distL="114300" distR="114300">
                  <wp:extent cx="5791200" cy="2581275"/>
                  <wp:effectExtent l="0" t="0" r="0" b="9525"/>
                  <wp:docPr id="14"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IMG_266"/>
                          <pic:cNvPicPr>
                            <a:picLocks noChangeAspect="1"/>
                          </pic:cNvPicPr>
                        </pic:nvPicPr>
                        <pic:blipFill>
                          <a:blip r:embed="rId14"/>
                          <a:stretch>
                            <a:fillRect/>
                          </a:stretch>
                        </pic:blipFill>
                        <pic:spPr>
                          <a:xfrm>
                            <a:off x="0" y="0"/>
                            <a:ext cx="5791200" cy="25812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b/>
                <w:caps w:val="0"/>
                <w:color w:val="000000"/>
                <w:spacing w:val="0"/>
                <w:kern w:val="0"/>
                <w:sz w:val="14"/>
                <w:szCs w:val="14"/>
                <w:lang w:val="en-US" w:eastAsia="zh-CN" w:bidi="ar"/>
              </w:rPr>
              <w:t>□项目动态：</w:t>
            </w:r>
            <w:r>
              <w:rPr>
                <w:rFonts w:hint="eastAsia" w:ascii="宋体" w:hAnsi="宋体" w:eastAsia="宋体" w:cs="宋体"/>
                <w:caps w:val="0"/>
                <w:color w:val="000000"/>
                <w:spacing w:val="0"/>
                <w:kern w:val="0"/>
                <w:sz w:val="14"/>
                <w:szCs w:val="14"/>
                <w:lang w:val="en-US" w:eastAsia="zh-CN" w:bidi="ar"/>
              </w:rPr>
              <w:t>2015年9月开工；2016.2.27营销中心开放；2016.7.8认筹1万抵三万；</w:t>
            </w:r>
            <w:r>
              <w:rPr>
                <w:rFonts w:hint="eastAsia" w:ascii="宋体" w:hAnsi="宋体" w:eastAsia="宋体" w:cs="宋体"/>
                <w:b/>
                <w:caps w:val="0"/>
                <w:color w:val="000000"/>
                <w:spacing w:val="0"/>
                <w:kern w:val="0"/>
                <w:sz w:val="14"/>
                <w:szCs w:val="14"/>
                <w:lang w:val="en-US" w:eastAsia="zh-CN" w:bidi="ar"/>
              </w:rPr>
              <w:t> 2016.7.23开盘。</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b/>
                <w:caps w:val="0"/>
                <w:color w:val="000000"/>
                <w:spacing w:val="0"/>
                <w:kern w:val="0"/>
                <w:sz w:val="14"/>
                <w:szCs w:val="14"/>
                <w:lang w:val="en-US" w:eastAsia="zh-CN" w:bidi="ar"/>
              </w:rPr>
              <w:t>□销售情况：</w:t>
            </w:r>
            <w:r>
              <w:rPr>
                <w:rFonts w:hint="eastAsia" w:ascii="宋体" w:hAnsi="宋体" w:eastAsia="宋体" w:cs="宋体"/>
                <w:caps w:val="0"/>
                <w:color w:val="000000"/>
                <w:spacing w:val="0"/>
                <w:kern w:val="0"/>
                <w:sz w:val="14"/>
                <w:szCs w:val="14"/>
                <w:lang w:val="en-US" w:eastAsia="zh-CN" w:bidi="ar"/>
              </w:rPr>
              <w:t>本次开盘推出的是1#、2#楼71-124平米户型，</w:t>
            </w:r>
            <w:r>
              <w:rPr>
                <w:rFonts w:hint="eastAsia" w:ascii="宋体" w:hAnsi="宋体" w:eastAsia="宋体" w:cs="宋体"/>
                <w:b/>
                <w:caps w:val="0"/>
                <w:color w:val="000000"/>
                <w:spacing w:val="0"/>
                <w:kern w:val="0"/>
                <w:sz w:val="14"/>
                <w:szCs w:val="14"/>
                <w:lang w:val="en-US" w:eastAsia="zh-CN" w:bidi="ar"/>
              </w:rPr>
              <w:t>共158套房源备案81套，去化率51%。</w:t>
            </w:r>
            <w:r>
              <w:rPr>
                <w:rFonts w:hint="eastAsia" w:ascii="宋体" w:hAnsi="宋体" w:eastAsia="宋体" w:cs="宋体"/>
                <w:caps w:val="0"/>
                <w:color w:val="000000"/>
                <w:spacing w:val="0"/>
                <w:kern w:val="0"/>
                <w:sz w:val="14"/>
                <w:szCs w:val="14"/>
                <w:lang w:val="en-US" w:eastAsia="zh-CN" w:bidi="ar"/>
              </w:rPr>
              <w:t>其中，1#楼13层2梯4户2个单元，户型面积71㎡、74㎡和88㎡，</w:t>
            </w:r>
            <w:r>
              <w:rPr>
                <w:rFonts w:hint="eastAsia" w:ascii="宋体" w:hAnsi="宋体" w:eastAsia="宋体" w:cs="宋体"/>
                <w:b/>
                <w:caps w:val="0"/>
                <w:color w:val="000000"/>
                <w:spacing w:val="0"/>
                <w:kern w:val="0"/>
                <w:sz w:val="14"/>
                <w:szCs w:val="14"/>
                <w:lang w:val="en-US" w:eastAsia="zh-CN" w:bidi="ar"/>
              </w:rPr>
              <w:t>104套房源备案43套，去化41%，均价7103元/㎡</w:t>
            </w:r>
            <w:r>
              <w:rPr>
                <w:rFonts w:hint="eastAsia" w:ascii="宋体" w:hAnsi="宋体" w:eastAsia="宋体" w:cs="宋体"/>
                <w:caps w:val="0"/>
                <w:color w:val="000000"/>
                <w:spacing w:val="0"/>
                <w:kern w:val="0"/>
                <w:sz w:val="14"/>
                <w:szCs w:val="14"/>
                <w:lang w:val="en-US" w:eastAsia="zh-CN" w:bidi="ar"/>
              </w:rPr>
              <w:t>；2#楼18层2梯3户1个单元，户型面积110㎡和124㎡，</w:t>
            </w:r>
            <w:r>
              <w:rPr>
                <w:rFonts w:hint="eastAsia" w:ascii="宋体" w:hAnsi="宋体" w:eastAsia="宋体" w:cs="宋体"/>
                <w:b/>
                <w:caps w:val="0"/>
                <w:color w:val="000000"/>
                <w:spacing w:val="0"/>
                <w:kern w:val="0"/>
                <w:sz w:val="14"/>
                <w:szCs w:val="14"/>
                <w:lang w:val="en-US" w:eastAsia="zh-CN" w:bidi="ar"/>
              </w:rPr>
              <w:t>54套房源备案38套，去化70%，均价7214元/㎡。</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b/>
                <w:caps w:val="0"/>
                <w:color w:val="000000"/>
                <w:spacing w:val="0"/>
                <w:kern w:val="0"/>
                <w:sz w:val="14"/>
                <w:szCs w:val="14"/>
                <w:lang w:val="en-US" w:eastAsia="zh-CN" w:bidi="ar"/>
              </w:rPr>
              <w:t>□项目点评：</w:t>
            </w:r>
            <w:r>
              <w:rPr>
                <w:rFonts w:hint="eastAsia" w:ascii="宋体" w:hAnsi="宋体" w:eastAsia="宋体" w:cs="宋体"/>
                <w:caps w:val="0"/>
                <w:color w:val="000000"/>
                <w:spacing w:val="0"/>
                <w:kern w:val="0"/>
                <w:sz w:val="14"/>
                <w:szCs w:val="14"/>
                <w:lang w:val="en-US" w:eastAsia="zh-CN" w:bidi="ar"/>
              </w:rPr>
              <w:t>项目位于西陵区体育场路中段，拥有良好的教育资源，文化气息浓郁；东山公园、白马公园、绿萝路植物园，三公园环绕，景观休闲资源丰富；周边配套齐全，居住生活便利。</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27"/>
                <w:szCs w:val="27"/>
                <w:lang w:val="en-US" w:eastAsia="zh-CN" w:bidi="ar"/>
              </w:rPr>
              <w:t>二、伍家区</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r>
              <w:rPr>
                <w:rFonts w:hint="eastAsia" w:ascii="宋体" w:hAnsi="宋体" w:eastAsia="宋体" w:cs="宋体"/>
                <w:caps w:val="0"/>
                <w:color w:val="000000"/>
                <w:spacing w:val="0"/>
                <w:kern w:val="0"/>
                <w:sz w:val="28"/>
                <w:szCs w:val="28"/>
                <w:shd w:val="clear" w:fill="E5E5E5"/>
                <w:lang w:eastAsia="zh-CN" w:bidi="ar"/>
              </w:rPr>
              <w:t>区内主要楼盘动态</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drawing>
                <wp:inline distT="0" distB="0" distL="114300" distR="114300">
                  <wp:extent cx="4686300" cy="5715000"/>
                  <wp:effectExtent l="0" t="0" r="7620" b="0"/>
                  <wp:docPr id="18"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descr="IMG_267"/>
                          <pic:cNvPicPr>
                            <a:picLocks noChangeAspect="1"/>
                          </pic:cNvPicPr>
                        </pic:nvPicPr>
                        <pic:blipFill>
                          <a:blip r:embed="rId15"/>
                          <a:stretch>
                            <a:fillRect/>
                          </a:stretch>
                        </pic:blipFill>
                        <pic:spPr>
                          <a:xfrm>
                            <a:off x="0" y="0"/>
                            <a:ext cx="4686300" cy="57150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drawing>
                <wp:inline distT="0" distB="0" distL="114300" distR="114300">
                  <wp:extent cx="4867275" cy="5429250"/>
                  <wp:effectExtent l="0" t="0" r="9525" b="11430"/>
                  <wp:docPr id="17"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IMG_268"/>
                          <pic:cNvPicPr>
                            <a:picLocks noChangeAspect="1"/>
                          </pic:cNvPicPr>
                        </pic:nvPicPr>
                        <pic:blipFill>
                          <a:blip r:embed="rId16"/>
                          <a:stretch>
                            <a:fillRect/>
                          </a:stretch>
                        </pic:blipFill>
                        <pic:spPr>
                          <a:xfrm>
                            <a:off x="0" y="0"/>
                            <a:ext cx="4867275" cy="54292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b/>
                <w:caps w:val="0"/>
                <w:color w:val="000000"/>
                <w:spacing w:val="0"/>
                <w:kern w:val="0"/>
                <w:sz w:val="28"/>
                <w:szCs w:val="28"/>
                <w:lang w:val="en-US" w:eastAsia="zh-CN" w:bidi="ar"/>
              </w:rPr>
              <w:t>三、高新区</w:t>
            </w:r>
            <w:r>
              <w:rPr>
                <w:rFonts w:hint="eastAsia" w:ascii="宋体" w:hAnsi="宋体" w:eastAsia="宋体" w:cs="宋体"/>
                <w:caps w:val="0"/>
                <w:color w:val="000000"/>
                <w:spacing w:val="0"/>
                <w:kern w:val="0"/>
                <w:sz w:val="24"/>
                <w:szCs w:val="24"/>
                <w:lang w:val="en-US" w:eastAsia="zh-CN" w:bidi="ar"/>
              </w:rPr>
              <w:t>（主要包含宜昌开发区、西陵开发区）</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24"/>
                <w:szCs w:val="24"/>
                <w:lang w:val="en-US" w:eastAsia="zh-CN" w:bidi="ar"/>
              </w:rPr>
              <w:drawing>
                <wp:inline distT="0" distB="0" distL="114300" distR="114300">
                  <wp:extent cx="4695825" cy="5724525"/>
                  <wp:effectExtent l="0" t="0" r="13335" b="5715"/>
                  <wp:docPr id="20"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descr="IMG_269"/>
                          <pic:cNvPicPr>
                            <a:picLocks noChangeAspect="1"/>
                          </pic:cNvPicPr>
                        </pic:nvPicPr>
                        <pic:blipFill>
                          <a:blip r:embed="rId17"/>
                          <a:stretch>
                            <a:fillRect/>
                          </a:stretch>
                        </pic:blipFill>
                        <pic:spPr>
                          <a:xfrm>
                            <a:off x="0" y="0"/>
                            <a:ext cx="4695825" cy="57245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24"/>
                <w:szCs w:val="24"/>
                <w:lang w:eastAsia="zh-CN" w:bidi="ar"/>
              </w:rPr>
              <w:t>四、夷陵区</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27"/>
                <w:szCs w:val="27"/>
                <w:lang w:val="en-US" w:eastAsia="zh-CN" w:bidi="ar"/>
              </w:rPr>
              <w:drawing>
                <wp:inline distT="0" distB="0" distL="114300" distR="114300">
                  <wp:extent cx="4572000" cy="5724525"/>
                  <wp:effectExtent l="0" t="0" r="0" b="5715"/>
                  <wp:docPr id="21"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descr="IMG_270"/>
                          <pic:cNvPicPr>
                            <a:picLocks noChangeAspect="1"/>
                          </pic:cNvPicPr>
                        </pic:nvPicPr>
                        <pic:blipFill>
                          <a:blip r:embed="rId18"/>
                          <a:stretch>
                            <a:fillRect/>
                          </a:stretch>
                        </pic:blipFill>
                        <pic:spPr>
                          <a:xfrm>
                            <a:off x="0" y="0"/>
                            <a:ext cx="4572000" cy="57245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b/>
                <w:caps w:val="0"/>
                <w:color w:val="000000"/>
                <w:spacing w:val="0"/>
                <w:kern w:val="0"/>
                <w:sz w:val="24"/>
                <w:szCs w:val="24"/>
                <w:lang w:val="en-US" w:eastAsia="zh-CN" w:bidi="ar"/>
              </w:rPr>
              <w:t>五、点军区</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Style w:val="7"/>
                <w:rFonts w:hint="eastAsia" w:ascii="宋体" w:hAnsi="宋体" w:eastAsia="宋体" w:cs="宋体"/>
                <w:caps w:val="0"/>
                <w:color w:val="000000"/>
                <w:spacing w:val="0"/>
                <w:kern w:val="0"/>
                <w:sz w:val="14"/>
                <w:szCs w:val="14"/>
                <w:lang w:val="en-US" w:eastAsia="zh-CN" w:bidi="ar"/>
              </w:rPr>
              <w:drawing>
                <wp:inline distT="0" distB="0" distL="114300" distR="114300">
                  <wp:extent cx="5610225" cy="3924300"/>
                  <wp:effectExtent l="0" t="0" r="13335" b="7620"/>
                  <wp:docPr id="23"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descr="IMG_271"/>
                          <pic:cNvPicPr>
                            <a:picLocks noChangeAspect="1"/>
                          </pic:cNvPicPr>
                        </pic:nvPicPr>
                        <pic:blipFill>
                          <a:blip r:embed="rId19"/>
                          <a:stretch>
                            <a:fillRect/>
                          </a:stretch>
                        </pic:blipFill>
                        <pic:spPr>
                          <a:xfrm>
                            <a:off x="0" y="0"/>
                            <a:ext cx="5610225" cy="39243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pStyle w:val="3"/>
              <w:keepNext w:val="0"/>
              <w:keepLines w:val="0"/>
              <w:widowControl/>
              <w:suppressLineNumbers w:val="0"/>
              <w:spacing w:line="24" w:lineRule="atLeast"/>
              <w:jc w:val="left"/>
            </w:pPr>
            <w:r>
              <w:rPr>
                <w:rStyle w:val="7"/>
                <w:b/>
                <w:caps w:val="0"/>
                <w:color w:val="000000"/>
                <w:spacing w:val="0"/>
                <w:sz w:val="24"/>
                <w:szCs w:val="24"/>
                <w:lang w:val="en-US"/>
              </w:rPr>
              <w:t>六、猇亭区</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drawing>
                <wp:inline distT="0" distB="0" distL="114300" distR="114300">
                  <wp:extent cx="5781675" cy="2324100"/>
                  <wp:effectExtent l="0" t="0" r="9525" b="7620"/>
                  <wp:docPr id="22"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descr="IMG_272"/>
                          <pic:cNvPicPr>
                            <a:picLocks noChangeAspect="1"/>
                          </pic:cNvPicPr>
                        </pic:nvPicPr>
                        <pic:blipFill>
                          <a:blip r:embed="rId20"/>
                          <a:stretch>
                            <a:fillRect/>
                          </a:stretch>
                        </pic:blipFill>
                        <pic:spPr>
                          <a:xfrm>
                            <a:off x="0" y="0"/>
                            <a:ext cx="5781675" cy="23241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pStyle w:val="2"/>
              <w:keepNext w:val="0"/>
              <w:keepLines w:val="0"/>
              <w:widowControl/>
              <w:suppressLineNumbers w:val="0"/>
              <w:spacing w:line="24" w:lineRule="atLeast"/>
              <w:jc w:val="center"/>
            </w:pPr>
            <w:r>
              <w:rPr>
                <w:caps w:val="0"/>
                <w:color w:val="000000"/>
                <w:spacing w:val="0"/>
                <w:sz w:val="27"/>
                <w:szCs w:val="27"/>
                <w:lang w:val="en-US"/>
              </w:rPr>
              <w:t>第四部分   媒体监测</w:t>
            </w:r>
          </w:p>
          <w:p>
            <w:pPr>
              <w:pStyle w:val="3"/>
              <w:keepNext w:val="0"/>
              <w:keepLines w:val="0"/>
              <w:widowControl/>
              <w:suppressLineNumbers w:val="0"/>
              <w:spacing w:line="24" w:lineRule="atLeast"/>
              <w:jc w:val="left"/>
            </w:pPr>
            <w:bookmarkStart w:id="25" w:name="_Toc398024665"/>
            <w:bookmarkEnd w:id="25"/>
            <w:bookmarkStart w:id="26" w:name="_Toc380050048"/>
            <w:bookmarkEnd w:id="26"/>
            <w:bookmarkStart w:id="27" w:name="_Toc353178142"/>
            <w:bookmarkEnd w:id="27"/>
            <w:bookmarkStart w:id="28" w:name="_Toc347757555"/>
            <w:bookmarkEnd w:id="28"/>
            <w:bookmarkStart w:id="29" w:name="_Toc345167239"/>
            <w:r>
              <w:rPr>
                <w:caps w:val="0"/>
                <w:color w:val="000000"/>
                <w:spacing w:val="0"/>
                <w:lang w:val="en-US"/>
              </w:rPr>
              <w:t>一、纸媒投放情况</w:t>
            </w:r>
            <w:bookmarkEnd w:id="29"/>
            <w:r>
              <w:rPr>
                <w:caps w:val="0"/>
                <w:color w:val="000000"/>
                <w:spacing w:val="0"/>
                <w:lang w:val="en-US"/>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b/>
                <w:caps w:val="0"/>
                <w:color w:val="000000"/>
                <w:spacing w:val="0"/>
                <w:kern w:val="0"/>
                <w:sz w:val="14"/>
                <w:szCs w:val="14"/>
                <w:lang w:val="en-US" w:eastAsia="zh-CN" w:bidi="ar"/>
              </w:rPr>
              <w:t>1、项目投放情况</w:t>
            </w:r>
          </w:p>
          <w:p>
            <w:pPr>
              <w:pStyle w:val="4"/>
              <w:keepNext w:val="0"/>
              <w:keepLines w:val="0"/>
              <w:widowControl/>
              <w:suppressLineNumbers w:val="0"/>
              <w:spacing w:line="24" w:lineRule="atLeast"/>
              <w:jc w:val="center"/>
            </w:pPr>
            <w:r>
              <w:rPr>
                <w:rFonts w:hint="eastAsia" w:ascii="宋体" w:hAnsi="宋体" w:eastAsia="宋体" w:cs="宋体"/>
                <w:caps w:val="0"/>
                <w:color w:val="000000"/>
                <w:spacing w:val="0"/>
                <w:sz w:val="14"/>
                <w:szCs w:val="14"/>
                <w:lang w:val="en-US"/>
              </w:rPr>
              <w:drawing>
                <wp:inline distT="0" distB="0" distL="114300" distR="114300">
                  <wp:extent cx="4676775" cy="2447925"/>
                  <wp:effectExtent l="0" t="0" r="1905" b="5715"/>
                  <wp:docPr id="15"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descr="IMG_273"/>
                          <pic:cNvPicPr>
                            <a:picLocks noChangeAspect="1"/>
                          </pic:cNvPicPr>
                        </pic:nvPicPr>
                        <pic:blipFill>
                          <a:blip r:embed="rId21"/>
                          <a:stretch>
                            <a:fillRect/>
                          </a:stretch>
                        </pic:blipFill>
                        <pic:spPr>
                          <a:xfrm>
                            <a:off x="0" y="0"/>
                            <a:ext cx="4676775" cy="24479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本月截止到31日，宜昌共有7个地产项目投放报纸广告，投放数量共计18篇（日报4篇、商报5篇、晚报9篇）。其中，东辰雅园投放7篇，主要宣传二期加推信息；恒大帝景投放3篇，主要刊登精装公寓开盘劲销的信息；江南URD投放3篇，主要宣传VIP申领的信息。</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b/>
                <w:caps w:val="0"/>
                <w:color w:val="000000"/>
                <w:spacing w:val="0"/>
                <w:kern w:val="0"/>
                <w:sz w:val="14"/>
                <w:szCs w:val="14"/>
                <w:lang w:val="en-US" w:eastAsia="zh-CN" w:bidi="ar"/>
              </w:rPr>
              <w:t>2、版面欣赏</w:t>
            </w:r>
          </w:p>
          <w:p>
            <w:pPr>
              <w:keepNext w:val="0"/>
              <w:keepLines w:val="0"/>
              <w:widowControl/>
              <w:suppressLineNumbers w:val="0"/>
              <w:spacing w:line="24" w:lineRule="atLeast"/>
              <w:ind w:left="0" w:firstLine="0"/>
              <w:jc w:val="center"/>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drawing>
                <wp:inline distT="0" distB="0" distL="114300" distR="114300">
                  <wp:extent cx="5505450" cy="1762125"/>
                  <wp:effectExtent l="0" t="0" r="11430" b="5715"/>
                  <wp:docPr id="24"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IMG_274"/>
                          <pic:cNvPicPr>
                            <a:picLocks noChangeAspect="1"/>
                          </pic:cNvPicPr>
                        </pic:nvPicPr>
                        <pic:blipFill>
                          <a:blip r:embed="rId22"/>
                          <a:stretch>
                            <a:fillRect/>
                          </a:stretch>
                        </pic:blipFill>
                        <pic:spPr>
                          <a:xfrm>
                            <a:off x="0" y="0"/>
                            <a:ext cx="5505450" cy="17621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pStyle w:val="3"/>
              <w:keepNext w:val="0"/>
              <w:keepLines w:val="0"/>
              <w:widowControl/>
              <w:suppressLineNumbers w:val="0"/>
              <w:spacing w:line="24" w:lineRule="atLeast"/>
              <w:jc w:val="left"/>
            </w:pPr>
            <w:r>
              <w:rPr>
                <w:caps w:val="0"/>
                <w:color w:val="000000"/>
                <w:spacing w:val="0"/>
                <w:sz w:val="15"/>
                <w:szCs w:val="15"/>
                <w:lang w:val="en-US"/>
              </w:rPr>
              <w:t>二、网络媒体监测</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bookmarkStart w:id="30" w:name="_Toc380050051"/>
            <w:r>
              <w:rPr>
                <w:rFonts w:hint="eastAsia" w:ascii="宋体" w:hAnsi="宋体" w:eastAsia="宋体" w:cs="宋体"/>
                <w:b/>
                <w:caps w:val="0"/>
                <w:color w:val="000000"/>
                <w:spacing w:val="0"/>
                <w:kern w:val="0"/>
                <w:sz w:val="14"/>
                <w:szCs w:val="14"/>
                <w:lang w:val="en-US" w:eastAsia="zh-CN" w:bidi="ar"/>
              </w:rPr>
              <w:t>1</w:t>
            </w:r>
            <w:bookmarkEnd w:id="30"/>
            <w:r>
              <w:rPr>
                <w:rFonts w:hint="eastAsia" w:ascii="宋体" w:hAnsi="宋体" w:eastAsia="宋体" w:cs="宋体"/>
                <w:b/>
                <w:caps w:val="0"/>
                <w:color w:val="000000"/>
                <w:spacing w:val="0"/>
                <w:kern w:val="0"/>
                <w:sz w:val="14"/>
                <w:szCs w:val="14"/>
                <w:lang w:val="en-US" w:eastAsia="zh-CN" w:bidi="ar"/>
              </w:rPr>
              <w:t>、搜房网</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bookmarkStart w:id="31" w:name="_Toc380050052"/>
            <w:r>
              <w:rPr>
                <w:rFonts w:hint="eastAsia" w:ascii="宋体" w:hAnsi="宋体" w:eastAsia="宋体" w:cs="宋体"/>
                <w:caps w:val="0"/>
                <w:color w:val="000000"/>
                <w:spacing w:val="0"/>
                <w:kern w:val="0"/>
                <w:sz w:val="14"/>
                <w:szCs w:val="14"/>
                <w:lang w:val="en-US" w:eastAsia="zh-CN" w:bidi="ar"/>
              </w:rPr>
              <w:t>本月在搜房网投放广告的主要有</w:t>
            </w:r>
            <w:r>
              <w:rPr>
                <w:rFonts w:hint="eastAsia" w:ascii="宋体" w:hAnsi="宋体" w:eastAsia="宋体" w:cs="宋体"/>
                <w:b/>
                <w:caps w:val="0"/>
                <w:color w:val="000000"/>
                <w:spacing w:val="0"/>
                <w:kern w:val="0"/>
                <w:sz w:val="14"/>
                <w:szCs w:val="14"/>
                <w:lang w:val="en-US" w:eastAsia="zh-CN" w:bidi="ar"/>
              </w:rPr>
              <w:t>弘洋·拉菲小镇、上上城3期、山水华庭、兴润·秋语台、世纪山水、中兴广场</w:t>
            </w:r>
            <w:r>
              <w:rPr>
                <w:rFonts w:hint="eastAsia" w:ascii="宋体" w:hAnsi="宋体" w:eastAsia="宋体" w:cs="宋体"/>
                <w:caps w:val="0"/>
                <w:color w:val="000000"/>
                <w:spacing w:val="0"/>
                <w:kern w:val="0"/>
                <w:sz w:val="14"/>
                <w:szCs w:val="14"/>
                <w:lang w:val="en-US" w:eastAsia="zh-CN" w:bidi="ar"/>
              </w:rPr>
              <w:t>等楼盘。</w:t>
            </w:r>
            <w:bookmarkEnd w:id="31"/>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drawing>
                <wp:inline distT="0" distB="0" distL="114300" distR="114300">
                  <wp:extent cx="5353050" cy="5895975"/>
                  <wp:effectExtent l="0" t="0" r="11430" b="1905"/>
                  <wp:docPr id="16"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descr="IMG_275"/>
                          <pic:cNvPicPr>
                            <a:picLocks noChangeAspect="1"/>
                          </pic:cNvPicPr>
                        </pic:nvPicPr>
                        <pic:blipFill>
                          <a:blip r:embed="rId23"/>
                          <a:stretch>
                            <a:fillRect/>
                          </a:stretch>
                        </pic:blipFill>
                        <pic:spPr>
                          <a:xfrm>
                            <a:off x="0" y="0"/>
                            <a:ext cx="5353050" cy="58959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b/>
                <w:caps w:val="0"/>
                <w:color w:val="000000"/>
                <w:spacing w:val="0"/>
                <w:kern w:val="0"/>
                <w:sz w:val="14"/>
                <w:szCs w:val="14"/>
                <w:lang w:val="en-US" w:eastAsia="zh-CN" w:bidi="ar"/>
              </w:rPr>
              <w:t>2、大楚网</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bookmarkStart w:id="32" w:name="_Toc380050056"/>
            <w:r>
              <w:rPr>
                <w:rFonts w:hint="eastAsia" w:ascii="宋体" w:hAnsi="宋体" w:eastAsia="宋体" w:cs="宋体"/>
                <w:caps w:val="0"/>
                <w:color w:val="000000"/>
                <w:spacing w:val="0"/>
                <w:kern w:val="0"/>
                <w:sz w:val="14"/>
                <w:szCs w:val="14"/>
                <w:lang w:val="en-US" w:eastAsia="zh-CN" w:bidi="ar"/>
              </w:rPr>
              <w:t>本月在大楚网投放广告的主要有</w:t>
            </w:r>
            <w:bookmarkEnd w:id="32"/>
            <w:r>
              <w:rPr>
                <w:rFonts w:hint="eastAsia" w:ascii="宋体" w:hAnsi="宋体" w:eastAsia="宋体" w:cs="宋体"/>
                <w:b/>
                <w:caps w:val="0"/>
                <w:color w:val="000000"/>
                <w:spacing w:val="0"/>
                <w:kern w:val="0"/>
                <w:sz w:val="14"/>
                <w:szCs w:val="14"/>
                <w:lang w:val="en-US" w:eastAsia="zh-CN" w:bidi="ar"/>
              </w:rPr>
              <w:t>宜化·巴黎香颂、恒大帝景、新华广场、恒信·中央公园、山水华庭、宜化·新天地、江南URD、城中半岛2期</w:t>
            </w:r>
            <w:r>
              <w:rPr>
                <w:rFonts w:hint="eastAsia" w:ascii="宋体" w:hAnsi="宋体" w:eastAsia="宋体" w:cs="宋体"/>
                <w:caps w:val="0"/>
                <w:color w:val="000000"/>
                <w:spacing w:val="0"/>
                <w:kern w:val="0"/>
                <w:sz w:val="14"/>
                <w:szCs w:val="14"/>
                <w:lang w:val="en-US" w:eastAsia="zh-CN" w:bidi="ar"/>
              </w:rPr>
              <w:t>等楼盘。</w:t>
            </w:r>
          </w:p>
          <w:p>
            <w:pPr>
              <w:keepNext w:val="0"/>
              <w:keepLines w:val="0"/>
              <w:widowControl/>
              <w:suppressLineNumbers w:val="0"/>
              <w:spacing w:line="24" w:lineRule="atLeast"/>
              <w:ind w:left="0" w:firstLine="0"/>
              <w:jc w:val="center"/>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drawing>
                <wp:inline distT="0" distB="0" distL="114300" distR="114300">
                  <wp:extent cx="5248275" cy="3019425"/>
                  <wp:effectExtent l="0" t="0" r="9525" b="13335"/>
                  <wp:docPr id="19"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 descr="IMG_276"/>
                          <pic:cNvPicPr>
                            <a:picLocks noChangeAspect="1"/>
                          </pic:cNvPicPr>
                        </pic:nvPicPr>
                        <pic:blipFill>
                          <a:blip r:embed="rId24"/>
                          <a:stretch>
                            <a:fillRect/>
                          </a:stretch>
                        </pic:blipFill>
                        <pic:spPr>
                          <a:xfrm>
                            <a:off x="0" y="0"/>
                            <a:ext cx="5248275" cy="30194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b/>
                <w:caps w:val="0"/>
                <w:color w:val="000000"/>
                <w:spacing w:val="0"/>
                <w:kern w:val="0"/>
                <w:sz w:val="14"/>
                <w:szCs w:val="14"/>
                <w:lang w:val="en-US" w:eastAsia="zh-CN" w:bidi="ar"/>
              </w:rPr>
              <w:t>3、新浪网</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本月在新浪网投放广告的主要有</w:t>
            </w:r>
            <w:r>
              <w:rPr>
                <w:rFonts w:hint="eastAsia" w:ascii="宋体" w:hAnsi="宋体" w:eastAsia="宋体" w:cs="宋体"/>
                <w:b/>
                <w:caps w:val="0"/>
                <w:color w:val="000000"/>
                <w:spacing w:val="0"/>
                <w:kern w:val="0"/>
                <w:sz w:val="14"/>
                <w:szCs w:val="14"/>
                <w:lang w:val="en-US" w:eastAsia="zh-CN" w:bidi="ar"/>
              </w:rPr>
              <w:t>宜化·巴黎香颂、山水华庭、宜化·新天地</w:t>
            </w:r>
            <w:r>
              <w:rPr>
                <w:rFonts w:hint="eastAsia" w:ascii="宋体" w:hAnsi="宋体" w:eastAsia="宋体" w:cs="宋体"/>
                <w:caps w:val="0"/>
                <w:color w:val="000000"/>
                <w:spacing w:val="0"/>
                <w:kern w:val="0"/>
                <w:sz w:val="14"/>
                <w:szCs w:val="14"/>
                <w:lang w:val="en-US" w:eastAsia="zh-CN" w:bidi="ar"/>
              </w:rPr>
              <w:t>等楼盘。</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drawing>
                <wp:inline distT="0" distB="0" distL="114300" distR="114300">
                  <wp:extent cx="5343525" cy="1009650"/>
                  <wp:effectExtent l="0" t="0" r="5715" b="11430"/>
                  <wp:docPr id="2"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2" descr="IMG_277"/>
                          <pic:cNvPicPr>
                            <a:picLocks noChangeAspect="1"/>
                          </pic:cNvPicPr>
                        </pic:nvPicPr>
                        <pic:blipFill>
                          <a:blip r:embed="rId25"/>
                          <a:stretch>
                            <a:fillRect/>
                          </a:stretch>
                        </pic:blipFill>
                        <pic:spPr>
                          <a:xfrm>
                            <a:off x="0" y="0"/>
                            <a:ext cx="5343525" cy="10096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b/>
                <w:caps w:val="0"/>
                <w:color w:val="000000"/>
                <w:spacing w:val="0"/>
                <w:kern w:val="0"/>
                <w:sz w:val="14"/>
                <w:szCs w:val="14"/>
                <w:lang w:val="en-US" w:eastAsia="zh-CN" w:bidi="ar"/>
              </w:rPr>
              <w:t>4、搜狐焦点</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bookmarkStart w:id="33" w:name="_Toc380050054"/>
            <w:r>
              <w:rPr>
                <w:rFonts w:hint="eastAsia" w:ascii="宋体" w:hAnsi="宋体" w:eastAsia="宋体" w:cs="宋体"/>
                <w:caps w:val="0"/>
                <w:color w:val="000000"/>
                <w:spacing w:val="0"/>
                <w:kern w:val="0"/>
                <w:sz w:val="14"/>
                <w:szCs w:val="14"/>
                <w:lang w:val="en-US" w:eastAsia="zh-CN" w:bidi="ar"/>
              </w:rPr>
              <w:t>本月在搜狐焦点网投放广告的主要有</w:t>
            </w:r>
            <w:bookmarkEnd w:id="33"/>
            <w:r>
              <w:rPr>
                <w:rFonts w:hint="eastAsia" w:ascii="宋体" w:hAnsi="宋体" w:eastAsia="宋体" w:cs="宋体"/>
                <w:b/>
                <w:caps w:val="0"/>
                <w:color w:val="000000"/>
                <w:spacing w:val="0"/>
                <w:kern w:val="0"/>
                <w:sz w:val="14"/>
                <w:szCs w:val="14"/>
                <w:lang w:val="en-US" w:eastAsia="zh-CN" w:bidi="ar"/>
              </w:rPr>
              <w:t>宜化·巴黎香颂、宜化·新天地</w:t>
            </w:r>
            <w:r>
              <w:rPr>
                <w:rFonts w:hint="eastAsia" w:ascii="宋体" w:hAnsi="宋体" w:eastAsia="宋体" w:cs="宋体"/>
                <w:caps w:val="0"/>
                <w:color w:val="000000"/>
                <w:spacing w:val="0"/>
                <w:kern w:val="0"/>
                <w:sz w:val="14"/>
                <w:szCs w:val="14"/>
                <w:lang w:val="en-US" w:eastAsia="zh-CN" w:bidi="ar"/>
              </w:rPr>
              <w:t>等楼盘。</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drawing>
                <wp:inline distT="0" distB="0" distL="114300" distR="114300">
                  <wp:extent cx="5362575" cy="742950"/>
                  <wp:effectExtent l="0" t="0" r="1905" b="3810"/>
                  <wp:docPr id="1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3" descr="IMG_278"/>
                          <pic:cNvPicPr>
                            <a:picLocks noChangeAspect="1"/>
                          </pic:cNvPicPr>
                        </pic:nvPicPr>
                        <pic:blipFill>
                          <a:blip r:embed="rId26"/>
                          <a:stretch>
                            <a:fillRect/>
                          </a:stretch>
                        </pic:blipFill>
                        <pic:spPr>
                          <a:xfrm>
                            <a:off x="0" y="0"/>
                            <a:ext cx="5362575" cy="7429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本月网络媒体投放情况：搜房网6个，与上月持平；大楚网8个，比上月减少1个，环比下跌11%；新浪网3个，与上月持平；搜狐焦点2个，比上月减少3个，环比下跌60%。本月在网络媒体投放广告最多的主要为</w:t>
            </w:r>
            <w:r>
              <w:rPr>
                <w:rFonts w:hint="eastAsia" w:ascii="宋体" w:hAnsi="宋体" w:eastAsia="宋体" w:cs="宋体"/>
                <w:b/>
                <w:caps w:val="0"/>
                <w:color w:val="000000"/>
                <w:spacing w:val="0"/>
                <w:kern w:val="0"/>
                <w:sz w:val="14"/>
                <w:szCs w:val="14"/>
                <w:lang w:val="en-US" w:eastAsia="zh-CN" w:bidi="ar"/>
              </w:rPr>
              <w:t>宜化·巴黎香颂、宜化·新天地、山水华庭</w:t>
            </w:r>
            <w:r>
              <w:rPr>
                <w:rFonts w:hint="eastAsia" w:ascii="宋体" w:hAnsi="宋体" w:eastAsia="宋体" w:cs="宋体"/>
                <w:caps w:val="0"/>
                <w:color w:val="000000"/>
                <w:spacing w:val="0"/>
                <w:kern w:val="0"/>
                <w:sz w:val="14"/>
                <w:szCs w:val="14"/>
                <w:lang w:val="en-US" w:eastAsia="zh-CN" w:bidi="ar"/>
              </w:rPr>
              <w:t>等楼盘。</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网络媒体最新动态为：</w:t>
            </w:r>
            <w:r>
              <w:rPr>
                <w:rFonts w:hint="eastAsia" w:ascii="宋体" w:hAnsi="宋体" w:eastAsia="宋体" w:cs="宋体"/>
                <w:b/>
                <w:caps w:val="0"/>
                <w:color w:val="000000"/>
                <w:spacing w:val="0"/>
                <w:kern w:val="0"/>
                <w:sz w:val="14"/>
                <w:szCs w:val="14"/>
                <w:lang w:val="en-US" w:eastAsia="zh-CN" w:bidi="ar"/>
              </w:rPr>
              <w:t>弘洋·拉菲小镇</w:t>
            </w:r>
            <w:r>
              <w:rPr>
                <w:rFonts w:hint="eastAsia" w:ascii="宋体" w:hAnsi="宋体" w:eastAsia="宋体" w:cs="宋体"/>
                <w:caps w:val="0"/>
                <w:color w:val="000000"/>
                <w:spacing w:val="0"/>
                <w:kern w:val="0"/>
                <w:sz w:val="14"/>
                <w:szCs w:val="14"/>
                <w:lang w:val="en-US" w:eastAsia="zh-CN" w:bidi="ar"/>
              </w:rPr>
              <w:t>二期新品8月上市；</w:t>
            </w:r>
            <w:r>
              <w:rPr>
                <w:rFonts w:hint="eastAsia" w:ascii="宋体" w:hAnsi="宋体" w:eastAsia="宋体" w:cs="宋体"/>
                <w:b/>
                <w:caps w:val="0"/>
                <w:color w:val="000000"/>
                <w:spacing w:val="0"/>
                <w:kern w:val="0"/>
                <w:sz w:val="14"/>
                <w:szCs w:val="14"/>
                <w:lang w:val="en-US" w:eastAsia="zh-CN" w:bidi="ar"/>
              </w:rPr>
              <w:t>中兴广场·九号公馆</w:t>
            </w:r>
            <w:r>
              <w:rPr>
                <w:rFonts w:hint="eastAsia" w:ascii="宋体" w:hAnsi="宋体" w:eastAsia="宋体" w:cs="宋体"/>
                <w:caps w:val="0"/>
                <w:color w:val="000000"/>
                <w:spacing w:val="0"/>
                <w:kern w:val="0"/>
                <w:sz w:val="14"/>
                <w:szCs w:val="14"/>
                <w:lang w:val="en-US" w:eastAsia="zh-CN" w:bidi="ar"/>
              </w:rPr>
              <w:t>7月31日开盘；</w:t>
            </w:r>
            <w:r>
              <w:rPr>
                <w:rFonts w:hint="eastAsia" w:ascii="宋体" w:hAnsi="宋体" w:eastAsia="宋体" w:cs="宋体"/>
                <w:b/>
                <w:caps w:val="0"/>
                <w:color w:val="000000"/>
                <w:spacing w:val="0"/>
                <w:kern w:val="0"/>
                <w:sz w:val="14"/>
                <w:szCs w:val="14"/>
                <w:lang w:val="en-US" w:eastAsia="zh-CN" w:bidi="ar"/>
              </w:rPr>
              <w:t>恒大帝景·公园邸</w:t>
            </w:r>
            <w:r>
              <w:rPr>
                <w:rFonts w:hint="eastAsia" w:ascii="宋体" w:hAnsi="宋体" w:eastAsia="宋体" w:cs="宋体"/>
                <w:caps w:val="0"/>
                <w:color w:val="000000"/>
                <w:spacing w:val="0"/>
                <w:kern w:val="0"/>
                <w:sz w:val="14"/>
                <w:szCs w:val="14"/>
                <w:lang w:val="en-US" w:eastAsia="zh-CN" w:bidi="ar"/>
              </w:rPr>
              <w:t>大宅即将开盘；</w:t>
            </w:r>
            <w:r>
              <w:rPr>
                <w:rFonts w:hint="eastAsia" w:ascii="宋体" w:hAnsi="宋体" w:eastAsia="宋体" w:cs="宋体"/>
                <w:b/>
                <w:caps w:val="0"/>
                <w:color w:val="000000"/>
                <w:spacing w:val="0"/>
                <w:kern w:val="0"/>
                <w:sz w:val="14"/>
                <w:szCs w:val="14"/>
                <w:lang w:val="en-US" w:eastAsia="zh-CN" w:bidi="ar"/>
              </w:rPr>
              <w:t>城中半岛2期</w:t>
            </w:r>
            <w:r>
              <w:rPr>
                <w:rFonts w:hint="eastAsia" w:ascii="宋体" w:hAnsi="宋体" w:eastAsia="宋体" w:cs="宋体"/>
                <w:caps w:val="0"/>
                <w:color w:val="000000"/>
                <w:spacing w:val="0"/>
                <w:kern w:val="0"/>
                <w:sz w:val="14"/>
                <w:szCs w:val="14"/>
                <w:lang w:val="en-US" w:eastAsia="zh-CN" w:bidi="ar"/>
              </w:rPr>
              <w:t>11号楼即将加推；</w:t>
            </w:r>
            <w:r>
              <w:rPr>
                <w:rFonts w:hint="eastAsia" w:ascii="宋体" w:hAnsi="宋体" w:eastAsia="宋体" w:cs="宋体"/>
                <w:b/>
                <w:caps w:val="0"/>
                <w:color w:val="000000"/>
                <w:spacing w:val="0"/>
                <w:kern w:val="0"/>
                <w:sz w:val="14"/>
                <w:szCs w:val="14"/>
                <w:lang w:val="en-US" w:eastAsia="zh-CN" w:bidi="ar"/>
              </w:rPr>
              <w:t>山水华庭5期</w:t>
            </w:r>
            <w:r>
              <w:rPr>
                <w:rFonts w:hint="eastAsia" w:ascii="宋体" w:hAnsi="宋体" w:eastAsia="宋体" w:cs="宋体"/>
                <w:caps w:val="0"/>
                <w:color w:val="000000"/>
                <w:spacing w:val="0"/>
                <w:kern w:val="0"/>
                <w:sz w:val="14"/>
                <w:szCs w:val="14"/>
                <w:lang w:val="en-US" w:eastAsia="zh-CN" w:bidi="ar"/>
              </w:rPr>
              <w:t>17号楼加推。</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b/>
                <w:caps w:val="0"/>
                <w:color w:val="000000"/>
                <w:spacing w:val="0"/>
                <w:kern w:val="0"/>
                <w:sz w:val="14"/>
                <w:szCs w:val="14"/>
                <w:lang w:val="en-US" w:eastAsia="zh-CN" w:bidi="ar"/>
              </w:rPr>
              <w:t>三、活动集锦</w:t>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drawing>
                <wp:inline distT="0" distB="0" distL="114300" distR="114300">
                  <wp:extent cx="5305425" cy="3886200"/>
                  <wp:effectExtent l="0" t="0" r="13335" b="0"/>
                  <wp:docPr id="1"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descr="IMG_279"/>
                          <pic:cNvPicPr>
                            <a:picLocks noChangeAspect="1"/>
                          </pic:cNvPicPr>
                        </pic:nvPicPr>
                        <pic:blipFill>
                          <a:blip r:embed="rId27"/>
                          <a:stretch>
                            <a:fillRect/>
                          </a:stretch>
                        </pic:blipFill>
                        <pic:spPr>
                          <a:xfrm>
                            <a:off x="0" y="0"/>
                            <a:ext cx="5305425" cy="38862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right"/>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p>
            <w:pPr>
              <w:keepNext w:val="0"/>
              <w:keepLines w:val="0"/>
              <w:widowControl/>
              <w:suppressLineNumbers w:val="0"/>
              <w:spacing w:line="24" w:lineRule="atLeast"/>
              <w:ind w:left="0" w:firstLine="0"/>
              <w:jc w:val="right"/>
              <w:rPr>
                <w:rFonts w:hint="eastAsia" w:ascii="宋体" w:hAnsi="宋体" w:eastAsia="宋体" w:cs="宋体"/>
                <w:caps w:val="0"/>
                <w:color w:val="000000"/>
                <w:spacing w:val="0"/>
                <w:sz w:val="14"/>
                <w:szCs w:val="14"/>
                <w:lang w:val="en-US"/>
              </w:rPr>
            </w:pPr>
            <w:r>
              <w:rPr>
                <w:rFonts w:hint="eastAsia" w:ascii="宋体" w:hAnsi="宋体" w:eastAsia="宋体" w:cs="宋体"/>
                <w:b/>
                <w:caps w:val="0"/>
                <w:color w:val="000000"/>
                <w:spacing w:val="0"/>
                <w:kern w:val="0"/>
                <w:sz w:val="14"/>
                <w:szCs w:val="14"/>
                <w:lang w:val="en-US" w:eastAsia="zh-CN" w:bidi="ar"/>
              </w:rPr>
              <w:t>  武汉正邦兴业地产顾问有限公司</w:t>
            </w:r>
          </w:p>
          <w:p>
            <w:pPr>
              <w:keepNext w:val="0"/>
              <w:keepLines w:val="0"/>
              <w:widowControl/>
              <w:suppressLineNumbers w:val="0"/>
              <w:spacing w:line="24" w:lineRule="atLeast"/>
              <w:ind w:left="0" w:firstLine="0"/>
              <w:jc w:val="right"/>
              <w:rPr>
                <w:rFonts w:hint="eastAsia" w:ascii="宋体" w:hAnsi="宋体" w:eastAsia="宋体" w:cs="宋体"/>
                <w:caps w:val="0"/>
                <w:color w:val="000000"/>
                <w:spacing w:val="0"/>
                <w:sz w:val="14"/>
                <w:szCs w:val="14"/>
                <w:lang w:val="en-US"/>
              </w:rPr>
            </w:pPr>
            <w:r>
              <w:rPr>
                <w:rFonts w:hint="eastAsia" w:ascii="宋体" w:hAnsi="宋体" w:eastAsia="宋体" w:cs="宋体"/>
                <w:b/>
                <w:caps w:val="0"/>
                <w:color w:val="000000"/>
                <w:spacing w:val="0"/>
                <w:kern w:val="0"/>
                <w:sz w:val="14"/>
                <w:szCs w:val="14"/>
                <w:lang w:val="en-US" w:eastAsia="zh-CN" w:bidi="ar"/>
              </w:rPr>
              <w:t>2016年8月</w:t>
            </w:r>
          </w:p>
          <w:p>
            <w:pPr>
              <w:keepNext w:val="0"/>
              <w:keepLines w:val="0"/>
              <w:widowControl/>
              <w:suppressLineNumbers w:val="0"/>
              <w:spacing w:line="24" w:lineRule="atLeast"/>
              <w:ind w:left="0" w:firstLine="0"/>
              <w:jc w:val="center"/>
              <w:rPr>
                <w:rFonts w:hint="eastAsia" w:ascii="宋体" w:hAnsi="宋体" w:eastAsia="宋体" w:cs="宋体"/>
                <w:caps w:val="0"/>
                <w:color w:val="000000"/>
                <w:spacing w:val="0"/>
                <w:sz w:val="14"/>
                <w:szCs w:val="14"/>
                <w:lang w:val="en-US"/>
              </w:rPr>
            </w:pPr>
            <w:r>
              <w:rPr>
                <w:rFonts w:hint="eastAsia" w:ascii="宋体" w:hAnsi="宋体" w:eastAsia="宋体" w:cs="宋体"/>
                <w:caps w:val="0"/>
                <w:color w:val="000000"/>
                <w:spacing w:val="0"/>
                <w:kern w:val="0"/>
                <w:sz w:val="14"/>
                <w:szCs w:val="14"/>
                <w:lang w:val="en-US" w:eastAsia="zh-CN" w:bidi="ar"/>
              </w:rPr>
              <w:t> </w:t>
            </w:r>
          </w:p>
        </w:tc>
      </w:tr>
    </w:tbl>
    <w:p>
      <w:bookmarkStart w:id="34" w:name="_GoBack"/>
      <w:bookmarkEnd w:id="34"/>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1D24F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6">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2019-09-30T03:55:09Z</dcterms:created>
  <dc:creator>HP</dc:creator>
  <cp:lastModifiedBy>joke</cp:lastModifiedBy>
  <dcterms:modified xsi:type="dcterms:W3CDTF">2019-09-30T03:55:38Z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