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2016年6月宜昌城区房地产市场分析报告</w:t>
            </w:r>
          </w:p>
        </w:tc>
      </w:tr>
      <w:tr>
        <w:tblPrEx>
          <w:shd w:val="clear" w:color="auto" w:fill="FFFFFF"/>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发布时间：7/11/2016 6:21:06 PM 浏览：2298</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特别提醒</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数据采集时间说明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本文内宏观政策、城市规划以及市场观点信息采集日期为2016年6月1日-30日；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本文内市场供应数据采集日期为2016年6月1日-30日；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本文内市场销售数据采集日期为2016年6月1日-30日；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本文内土地市场新增数据采集日期为2016年6月全月数据；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本文内土地市场成交数据采集日期为2016年6月1日-30日；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本文内媒体登录数据采集日期为2016年6月1日-30日。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版权说明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本文内包含的资料属于武汉正邦兴业地产顾问有限公司的商业机密, 一旦泄漏，可能被商业竞争者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利用，因此本文档内容仅限于武汉正邦兴业地产顾问有限公司内部及相关合作伙伴参考之用，除此之外，不得私自发布、使用和复制文档的任何内容。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如果武汉正邦兴业地产顾问有限公司相关合作方或第三方决定采用本文或本文内数据，对本文档中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数据的发布、使用和复制的必须通告武汉正邦兴业地产顾问有限公司并且在引用文本中进行明确说明。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本限制条款不适用于从其它合法渠道得到对文中包含数据的使用授权的情况。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版权由武汉正邦兴业地产顾问有限公司所有。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本报告数据说明：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1、本报告中所涉及的批准预售、新开盘及加推、成交数据未特别注明的，均为建筑面积；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2、本报告中所涉及的新开盘及加推、成交价格未特别注明的，均为建筑面积价格；</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3、本报告中批准预售、成交数据均来自宜昌房地产交易网站；土地数据来自宜昌市国土资源交易网。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bookmarkStart w:id="0" w:name="_Toc398024651"/>
            <w:bookmarkEnd w:id="0"/>
            <w:bookmarkStart w:id="1" w:name="_Toc384797618"/>
            <w:bookmarkEnd w:id="1"/>
            <w:bookmarkStart w:id="2" w:name="_Toc384797302"/>
            <w:bookmarkEnd w:id="2"/>
            <w:bookmarkStart w:id="3" w:name="_Toc384797220"/>
            <w:bookmarkEnd w:id="3"/>
            <w:bookmarkStart w:id="4" w:name="_Toc384796961"/>
            <w:bookmarkEnd w:id="4"/>
            <w:r>
              <w:rPr>
                <w:rFonts w:hint="eastAsia" w:ascii="宋体" w:hAnsi="宋体" w:eastAsia="宋体" w:cs="宋体"/>
                <w:caps w:val="0"/>
                <w:spacing w:val="0"/>
                <w:kern w:val="0"/>
                <w:sz w:val="14"/>
                <w:szCs w:val="14"/>
                <w:lang w:val="en-US" w:eastAsia="zh-CN" w:bidi="ar"/>
              </w:rPr>
              <w:t> </w:t>
            </w:r>
          </w:p>
          <w:p>
            <w:pPr>
              <w:pStyle w:val="2"/>
              <w:keepNext w:val="0"/>
              <w:keepLines w:val="0"/>
              <w:widowControl/>
              <w:suppressLineNumbers w:val="0"/>
              <w:spacing w:line="24" w:lineRule="atLeast"/>
              <w:jc w:val="center"/>
            </w:pPr>
            <w:r>
              <w:rPr>
                <w:caps w:val="0"/>
                <w:spacing w:val="0"/>
                <w:sz w:val="27"/>
                <w:szCs w:val="27"/>
              </w:rPr>
              <w:t>第一部分   楼市政策分析</w:t>
            </w:r>
          </w:p>
          <w:p>
            <w:pPr>
              <w:pStyle w:val="3"/>
              <w:keepNext w:val="0"/>
              <w:keepLines w:val="0"/>
              <w:widowControl/>
              <w:suppressLineNumbers w:val="0"/>
              <w:spacing w:line="24" w:lineRule="atLeast"/>
              <w:jc w:val="center"/>
            </w:pPr>
            <w:bookmarkStart w:id="5" w:name="_Toc398024652"/>
            <w:bookmarkEnd w:id="5"/>
            <w:bookmarkStart w:id="6" w:name="_Toc384797619"/>
            <w:bookmarkEnd w:id="6"/>
            <w:bookmarkStart w:id="7" w:name="_Toc384797303"/>
            <w:bookmarkEnd w:id="7"/>
            <w:bookmarkStart w:id="8" w:name="_Toc384797221"/>
            <w:bookmarkEnd w:id="8"/>
            <w:bookmarkStart w:id="9" w:name="_Toc384796962"/>
            <w:bookmarkEnd w:id="9"/>
            <w:bookmarkStart w:id="10" w:name="_Toc380050033"/>
            <w:bookmarkEnd w:id="10"/>
            <w:bookmarkStart w:id="11" w:name="_Toc347757543"/>
            <w:bookmarkEnd w:id="11"/>
            <w:bookmarkStart w:id="12" w:name="_Toc345167227"/>
            <w:r>
              <w:rPr>
                <w:caps w:val="0"/>
                <w:spacing w:val="0"/>
                <w:sz w:val="27"/>
                <w:szCs w:val="27"/>
              </w:rPr>
              <w:t>一、</w:t>
            </w:r>
            <w:bookmarkEnd w:id="12"/>
            <w:r>
              <w:rPr>
                <w:caps w:val="0"/>
                <w:spacing w:val="0"/>
                <w:sz w:val="27"/>
                <w:szCs w:val="27"/>
              </w:rPr>
              <w:t>本月楼市政策一览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1、国办：发展住房租赁企业 鼓励房企开展住房租赁业务</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3日晚，国务院办公厅发布《关于加快培育和发展住房租赁市场的若干意见》，明确住房租赁合同期限内，出租人无正当理由不得解除合同，不得单方面提高租金，不得随意克扣押金。同时提出，到2020年，基本形成供应主体多元、经营服务规范、租赁关系稳定的住房租赁市场体系，基本形成保基本、促公平、可持续的公共租赁住房保障体系。为加快培育和发展住房租赁市场，</w:t>
            </w:r>
            <w:r>
              <w:rPr>
                <w:rFonts w:hint="eastAsia" w:ascii="宋体" w:hAnsi="宋体" w:eastAsia="宋体" w:cs="宋体"/>
                <w:b/>
                <w:caps w:val="0"/>
                <w:spacing w:val="0"/>
                <w:kern w:val="0"/>
                <w:sz w:val="14"/>
                <w:szCs w:val="14"/>
                <w:lang w:val="en-US" w:eastAsia="zh-CN" w:bidi="ar"/>
              </w:rPr>
              <w:t>鼓励房地产开发企业开展住房租赁业务，允许将商业用房等按规定改建为租赁住房。</w:t>
            </w:r>
            <w:r>
              <w:rPr>
                <w:rFonts w:hint="eastAsia" w:ascii="宋体" w:hAnsi="宋体" w:eastAsia="宋体" w:cs="宋体"/>
                <w:caps w:val="0"/>
                <w:spacing w:val="0"/>
                <w:kern w:val="0"/>
                <w:sz w:val="14"/>
                <w:szCs w:val="14"/>
                <w:lang w:val="en-US" w:eastAsia="zh-CN" w:bidi="ar"/>
              </w:rPr>
              <w:t>打通购租并举市场，将有助于加快房地产行业的去库存。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亮点一：鼓励房企开展租赁业务 加快“去库存”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亮点二：落实公积金租房政策 简化办理手续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亮点三：合同期限内房东不得单方面提高租金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亮点四：符合条件的公租房保障对象在市场租房 给予补贴</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亮点五：允许改建房屋用于租赁 水电气价格按居民标准收</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亮点六：加大政策支持力度 个人出租住房税率从5%减至1.5%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2、多地下调住房公积金缴存比例 明确上限不能超12%</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目前已有河北、天津、福建、吉林、宁夏、青海、重庆等地出台了阶段性降低住房公积金缴存比例的具体办法。</w:t>
            </w:r>
            <w:r>
              <w:rPr>
                <w:rFonts w:hint="eastAsia" w:ascii="宋体" w:hAnsi="宋体" w:eastAsia="宋体" w:cs="宋体"/>
                <w:b/>
                <w:caps w:val="0"/>
                <w:spacing w:val="0"/>
                <w:kern w:val="0"/>
                <w:sz w:val="14"/>
                <w:szCs w:val="14"/>
                <w:lang w:val="en-US" w:eastAsia="zh-CN" w:bidi="ar"/>
              </w:rPr>
              <w:t>各地均明确了缴存比例最高不得超过12%的“天花板”。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国务院常务会议提出，</w:t>
            </w:r>
            <w:r>
              <w:rPr>
                <w:rFonts w:hint="eastAsia" w:ascii="宋体" w:hAnsi="宋体" w:eastAsia="宋体" w:cs="宋体"/>
                <w:b/>
                <w:caps w:val="0"/>
                <w:spacing w:val="0"/>
                <w:kern w:val="0"/>
                <w:sz w:val="14"/>
                <w:szCs w:val="14"/>
                <w:lang w:val="en-US" w:eastAsia="zh-CN" w:bidi="ar"/>
              </w:rPr>
              <w:t>生产经营困难企业除可降低缴存比例外，还可依法申请缓缴公积金，待效益好转后再提高缴存比例或恢复缴存并补缴缓缴的公积金。</w:t>
            </w:r>
            <w:r>
              <w:rPr>
                <w:rFonts w:hint="eastAsia" w:ascii="宋体" w:hAnsi="宋体" w:eastAsia="宋体" w:cs="宋体"/>
                <w:caps w:val="0"/>
                <w:spacing w:val="0"/>
                <w:kern w:val="0"/>
                <w:sz w:val="14"/>
                <w:szCs w:val="14"/>
                <w:lang w:val="en-US" w:eastAsia="zh-CN" w:bidi="ar"/>
              </w:rPr>
              <w:t>之所以这么规定，主要是考虑到有些企业生产经营十分困难，步履维艰，如果不采取有力的措施予以支持，帮助企业走出困境，就可能停产甚至破产，发生职工下岗等问题，影响职工的生活和社会稳定。阶段性适当降低住房公积金缴存比例，</w:t>
            </w:r>
            <w:r>
              <w:rPr>
                <w:rFonts w:hint="eastAsia" w:ascii="宋体" w:hAnsi="宋体" w:eastAsia="宋体" w:cs="宋体"/>
                <w:b/>
                <w:caps w:val="0"/>
                <w:spacing w:val="0"/>
                <w:kern w:val="0"/>
                <w:sz w:val="14"/>
                <w:szCs w:val="14"/>
                <w:lang w:val="en-US" w:eastAsia="zh-CN" w:bidi="ar"/>
              </w:rPr>
              <w:t>可以减轻企业负担，</w:t>
            </w:r>
            <w:r>
              <w:rPr>
                <w:rFonts w:hint="eastAsia" w:ascii="宋体" w:hAnsi="宋体" w:eastAsia="宋体" w:cs="宋体"/>
                <w:caps w:val="0"/>
                <w:spacing w:val="0"/>
                <w:kern w:val="0"/>
                <w:sz w:val="14"/>
                <w:szCs w:val="14"/>
                <w:lang w:val="en-US" w:eastAsia="zh-CN" w:bidi="ar"/>
              </w:rPr>
              <w:t>增强企业的活力，促进企业提质增效，有利于增加就业，稳定经济增长。而对于职工来说，虽然公积金个人账户的收入会受到影响，但</w:t>
            </w:r>
            <w:r>
              <w:rPr>
                <w:rFonts w:hint="eastAsia" w:ascii="宋体" w:hAnsi="宋体" w:eastAsia="宋体" w:cs="宋体"/>
                <w:b/>
                <w:caps w:val="0"/>
                <w:spacing w:val="0"/>
                <w:kern w:val="0"/>
                <w:sz w:val="14"/>
                <w:szCs w:val="14"/>
                <w:lang w:val="en-US" w:eastAsia="zh-CN" w:bidi="ar"/>
              </w:rPr>
              <w:t>拿到手的现金有望增加</w:t>
            </w:r>
            <w:r>
              <w:rPr>
                <w:rFonts w:hint="eastAsia" w:ascii="宋体" w:hAnsi="宋体" w:eastAsia="宋体" w:cs="宋体"/>
                <w:caps w:val="0"/>
                <w:spacing w:val="0"/>
                <w:kern w:val="0"/>
                <w:sz w:val="14"/>
                <w:szCs w:val="14"/>
                <w:lang w:val="en-US" w:eastAsia="zh-CN" w:bidi="ar"/>
              </w:rPr>
              <w:t>。此外，降低过高的缴存比例，对于缩小收入差距、增强公平也有积极意义。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3、湖北宜昌住房公积金政策调整最新消息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6月8日，宜昌住房公积金管理中心宣布从5月30日起，统一按新规定办理各项住房公积金贷款业务，执行新的贷款政策。如：</w:t>
            </w:r>
            <w:r>
              <w:rPr>
                <w:rFonts w:hint="eastAsia" w:ascii="宋体" w:hAnsi="宋体" w:eastAsia="宋体" w:cs="宋体"/>
                <w:b/>
                <w:caps w:val="0"/>
                <w:spacing w:val="0"/>
                <w:kern w:val="0"/>
                <w:sz w:val="14"/>
                <w:szCs w:val="14"/>
                <w:lang w:val="en-US" w:eastAsia="zh-CN" w:bidi="ar"/>
              </w:rPr>
              <w:t>正式取消购房套数限制，允许向购买第三套及以上住房的家庭提供住房公积金贷款；同时也取消了二手房20年房龄限制，可根据二手房房屋价值申请住房公积金贷款等。</w:t>
            </w:r>
            <w:r>
              <w:rPr>
                <w:rFonts w:hint="eastAsia" w:ascii="宋体" w:hAnsi="宋体" w:eastAsia="宋体" w:cs="宋体"/>
                <w:caps w:val="0"/>
                <w:spacing w:val="0"/>
                <w:kern w:val="0"/>
                <w:sz w:val="14"/>
                <w:szCs w:val="14"/>
                <w:lang w:val="en-US" w:eastAsia="zh-CN" w:bidi="ar"/>
              </w:rPr>
              <w:t>从6月18日起开通新的商业银行网点贷款登记预约窗口。</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变化一：取消套数限制，只要结清了前期购房的公积金贷款即可；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变化二：降低最低缴存时限，由连续足额缴存住房公积金6个月调整为3个月；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变化三：取消二手房20年房龄限制，根据房屋评估价值申请住房公积金贷款；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变化四：最高贷款额度由60万提高到80万，家庭月还款额与月收入比由45%提高到60%；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变化五：最低首付款比例按20%执行；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变化六：将借款人的贷款偿还期限统一延长至65周岁；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变化七：灵活就业人员只要提供本市户口簿或户籍证明、缴纳社会保险凭证、个体工商户营业执照副本等</w:t>
            </w:r>
            <w:r>
              <w:rPr>
                <w:rFonts w:hint="eastAsia" w:ascii="宋体" w:hAnsi="宋体" w:eastAsia="宋体" w:cs="宋体"/>
                <w:b/>
                <w:caps w:val="0"/>
                <w:spacing w:val="0"/>
                <w:kern w:val="0"/>
                <w:sz w:val="14"/>
                <w:szCs w:val="14"/>
                <w:lang w:val="en-US" w:eastAsia="zh-CN" w:bidi="ar"/>
              </w:rPr>
              <w:t>三类材料任意之一，即可办理个人开户手续，并享受与单位缴存职工同样的权利。</w:t>
            </w:r>
            <w:r>
              <w:rPr>
                <w:rFonts w:hint="eastAsia" w:ascii="宋体" w:hAnsi="宋体" w:eastAsia="宋体" w:cs="宋体"/>
                <w:caps w:val="0"/>
                <w:spacing w:val="0"/>
                <w:kern w:val="0"/>
                <w:sz w:val="14"/>
                <w:szCs w:val="14"/>
                <w:lang w:val="en-US" w:eastAsia="zh-CN" w:bidi="ar"/>
              </w:rPr>
              <w:t>灵活就业人员住房公积金政策因程序系统调整自2016年7月1日起执行。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7"/>
                <w:szCs w:val="27"/>
                <w:lang w:val="en-US" w:eastAsia="zh-CN" w:bidi="ar"/>
              </w:rPr>
              <w:t>二、楼市发展趋势分析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1、土地状况</w:t>
            </w:r>
          </w:p>
          <w:tbl>
            <w:tblPr>
              <w:tblW w:w="7656" w:type="dxa"/>
              <w:jc w:val="center"/>
              <w:tblCellSpacing w:w="0" w:type="dxa"/>
              <w:tblInd w:w="31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
            <w:tblGrid>
              <w:gridCol w:w="1276"/>
              <w:gridCol w:w="1276"/>
              <w:gridCol w:w="1276"/>
              <w:gridCol w:w="1276"/>
              <w:gridCol w:w="1276"/>
              <w:gridCol w:w="12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1276" w:type="dxa"/>
                  <w:vMerge w:val="restart"/>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指标</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推出面积</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成交面积</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出让金</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楼面均价</w:t>
                  </w:r>
                </w:p>
              </w:tc>
              <w:tc>
                <w:tcPr>
                  <w:tcW w:w="1276" w:type="dxa"/>
                  <w:vMerge w:val="restart"/>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溢价率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0" w:type="dxa"/>
                  <w:left w:w="0" w:type="dxa"/>
                  <w:bottom w:w="0" w:type="dxa"/>
                  <w:right w:w="0" w:type="dxa"/>
                </w:tblCellMar>
              </w:tblPrEx>
              <w:trPr>
                <w:tblCellSpacing w:w="0" w:type="dxa"/>
                <w:jc w:val="center"/>
              </w:trPr>
              <w:tc>
                <w:tcPr>
                  <w:tcW w:w="1276" w:type="dxa"/>
                  <w:vMerge w:val="continue"/>
                  <w:shd w:val="clear"/>
                  <w:vAlign w:val="center"/>
                </w:tcPr>
                <w:p>
                  <w:pPr>
                    <w:rPr>
                      <w:rFonts w:hint="eastAsia" w:ascii="宋体" w:hAnsi="宋体" w:eastAsia="宋体" w:cs="宋体"/>
                      <w:sz w:val="14"/>
                      <w:szCs w:val="14"/>
                    </w:rPr>
                  </w:pP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(万平方米)</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(万平方米)</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(亿元)</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(元/平方米)</w:t>
                  </w:r>
                </w:p>
              </w:tc>
              <w:tc>
                <w:tcPr>
                  <w:tcW w:w="1276" w:type="dxa"/>
                  <w:vMerge w:val="continue"/>
                  <w:shd w:val="clear"/>
                  <w:vAlign w:val="center"/>
                </w:tcPr>
                <w:p>
                  <w:pPr>
                    <w:rPr>
                      <w:rFonts w:hint="eastAsia" w:ascii="宋体" w:hAnsi="宋体" w:eastAsia="宋体" w:cs="宋体"/>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绝对量</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10075</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7110</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2352</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1904</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环比</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16%</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8%</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-7%</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jc w:val="center"/>
              </w:trPr>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b/>
                      <w:kern w:val="0"/>
                      <w:sz w:val="14"/>
                      <w:szCs w:val="14"/>
                      <w:lang w:val="en-US" w:eastAsia="zh-CN" w:bidi="ar"/>
                    </w:rPr>
                    <w:t>同比</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-9%</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-4%</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17%</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25%</w:t>
                  </w:r>
                </w:p>
              </w:tc>
              <w:tc>
                <w:tcPr>
                  <w:tcW w:w="1276" w:type="dxa"/>
                  <w:shd w:val="clear"/>
                  <w:vAlign w:val="center"/>
                </w:tcPr>
                <w:p>
                  <w:pPr>
                    <w:keepNext w:val="0"/>
                    <w:keepLines w:val="0"/>
                    <w:widowControl/>
                    <w:suppressLineNumbers w:val="0"/>
                    <w:jc w:val="center"/>
                    <w:rPr>
                      <w:rFonts w:hint="eastAsia" w:ascii="宋体" w:hAnsi="宋体" w:eastAsia="宋体" w:cs="宋体"/>
                      <w:sz w:val="14"/>
                      <w:szCs w:val="14"/>
                    </w:rPr>
                  </w:pPr>
                  <w:r>
                    <w:rPr>
                      <w:rFonts w:hint="eastAsia" w:ascii="宋体" w:hAnsi="宋体" w:eastAsia="宋体" w:cs="宋体"/>
                      <w:kern w:val="0"/>
                      <w:sz w:val="14"/>
                      <w:szCs w:val="14"/>
                      <w:lang w:val="en-US" w:eastAsia="zh-CN" w:bidi="ar"/>
                    </w:rPr>
                    <w:t>48%</w:t>
                  </w:r>
                </w:p>
              </w:tc>
            </w:tr>
          </w:tbl>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◇供应情况：本月主要城市供地较上月增加，同比下跌近一成。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2016年6月，全国300个城市共推出土地2564宗，</w:t>
            </w:r>
            <w:r>
              <w:rPr>
                <w:rFonts w:hint="eastAsia" w:ascii="宋体" w:hAnsi="宋体" w:eastAsia="宋体" w:cs="宋体"/>
                <w:b/>
                <w:caps w:val="0"/>
                <w:spacing w:val="0"/>
                <w:kern w:val="0"/>
                <w:sz w:val="14"/>
                <w:szCs w:val="14"/>
                <w:lang w:val="en-US" w:eastAsia="zh-CN" w:bidi="ar"/>
              </w:rPr>
              <w:t>推出土地面积10075万平方米，环比增加16%，同比减少9%。</w:t>
            </w:r>
            <w:r>
              <w:rPr>
                <w:rFonts w:hint="eastAsia" w:ascii="宋体" w:hAnsi="宋体" w:eastAsia="宋体" w:cs="宋体"/>
                <w:caps w:val="0"/>
                <w:spacing w:val="0"/>
                <w:kern w:val="0"/>
                <w:sz w:val="14"/>
                <w:szCs w:val="14"/>
                <w:lang w:val="en-US" w:eastAsia="zh-CN" w:bidi="ar"/>
              </w:rPr>
              <w:t>其中，住宅类用地（含住宅用地及包含住宅用地的综合性用地）716宗，推出土地面积2905万平方米，环比增加10%，同比减少20%。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◇成交情况：环比增加，同比减少。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2016年6月，全国300个城市共成交土地1783宗，</w:t>
            </w:r>
            <w:r>
              <w:rPr>
                <w:rFonts w:hint="eastAsia" w:ascii="宋体" w:hAnsi="宋体" w:eastAsia="宋体" w:cs="宋体"/>
                <w:b/>
                <w:caps w:val="0"/>
                <w:spacing w:val="0"/>
                <w:kern w:val="0"/>
                <w:sz w:val="14"/>
                <w:szCs w:val="14"/>
                <w:lang w:val="en-US" w:eastAsia="zh-CN" w:bidi="ar"/>
              </w:rPr>
              <w:t>成交面积7110万平方米，环比增加8%，同比减少4%。</w:t>
            </w:r>
            <w:r>
              <w:rPr>
                <w:rFonts w:hint="eastAsia" w:ascii="宋体" w:hAnsi="宋体" w:eastAsia="宋体" w:cs="宋体"/>
                <w:caps w:val="0"/>
                <w:spacing w:val="0"/>
                <w:kern w:val="0"/>
                <w:sz w:val="14"/>
                <w:szCs w:val="14"/>
                <w:lang w:val="en-US" w:eastAsia="zh-CN" w:bidi="ar"/>
              </w:rPr>
              <w:t>其中，住宅类用地（含住宅用地及包含住宅用地的综合性用地）488宗，成交面积2141万平方米，环比增加4%，同比减少16%。</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◇楼面均价：二线城市楼面地价继续领涨，部分城市土地市场存在过热风险。</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2016年6月，全国300个城市成交楼面均价为1904元/平方米，</w:t>
            </w:r>
            <w:r>
              <w:rPr>
                <w:rFonts w:hint="eastAsia" w:ascii="宋体" w:hAnsi="宋体" w:eastAsia="宋体" w:cs="宋体"/>
                <w:b/>
                <w:caps w:val="0"/>
                <w:spacing w:val="0"/>
                <w:kern w:val="0"/>
                <w:sz w:val="14"/>
                <w:szCs w:val="14"/>
                <w:lang w:val="en-US" w:eastAsia="zh-CN" w:bidi="ar"/>
              </w:rPr>
              <w:t>环比下跌7%，同比上涨25%，</w:t>
            </w:r>
            <w:r>
              <w:rPr>
                <w:rFonts w:hint="eastAsia" w:ascii="宋体" w:hAnsi="宋体" w:eastAsia="宋体" w:cs="宋体"/>
                <w:caps w:val="0"/>
                <w:spacing w:val="0"/>
                <w:kern w:val="0"/>
                <w:sz w:val="14"/>
                <w:szCs w:val="14"/>
                <w:lang w:val="en-US" w:eastAsia="zh-CN" w:bidi="ar"/>
              </w:rPr>
              <w:t>其中住宅类用地（含住宅用地及包含住宅用地的综合性用地）成交楼面均价为3561元/平方米，环比下跌8%，同比上涨48%。</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本月监测的全国100个城市（新建）住宅平均价格为11816元/平米，</w:t>
            </w:r>
            <w:r>
              <w:rPr>
                <w:rFonts w:hint="eastAsia" w:ascii="宋体" w:hAnsi="宋体" w:eastAsia="宋体" w:cs="宋体"/>
                <w:b/>
                <w:caps w:val="0"/>
                <w:spacing w:val="0"/>
                <w:kern w:val="0"/>
                <w:sz w:val="14"/>
                <w:szCs w:val="14"/>
                <w:lang w:val="en-US" w:eastAsia="zh-CN" w:bidi="ar"/>
              </w:rPr>
              <w:t>环比上涨1.32%，</w:t>
            </w:r>
            <w:r>
              <w:rPr>
                <w:rFonts w:hint="eastAsia" w:ascii="宋体" w:hAnsi="宋体" w:eastAsia="宋体" w:cs="宋体"/>
                <w:caps w:val="0"/>
                <w:spacing w:val="0"/>
                <w:kern w:val="0"/>
                <w:sz w:val="14"/>
                <w:szCs w:val="14"/>
                <w:lang w:val="en-US" w:eastAsia="zh-CN" w:bidi="ar"/>
              </w:rPr>
              <w:t>涨幅较上月收窄0.38个百分点。从涨跌城市个数来看</w:t>
            </w:r>
            <w:r>
              <w:rPr>
                <w:rFonts w:hint="eastAsia" w:ascii="宋体" w:hAnsi="宋体" w:eastAsia="宋体" w:cs="宋体"/>
                <w:b/>
                <w:caps w:val="0"/>
                <w:spacing w:val="0"/>
                <w:kern w:val="0"/>
                <w:sz w:val="14"/>
                <w:szCs w:val="14"/>
                <w:lang w:val="en-US" w:eastAsia="zh-CN" w:bidi="ar"/>
              </w:rPr>
              <w:t>价格环比上涨的有73个，</w:t>
            </w:r>
            <w:r>
              <w:rPr>
                <w:rFonts w:hint="eastAsia" w:ascii="宋体" w:hAnsi="宋体" w:eastAsia="宋体" w:cs="宋体"/>
                <w:caps w:val="0"/>
                <w:spacing w:val="0"/>
                <w:kern w:val="0"/>
                <w:sz w:val="14"/>
                <w:szCs w:val="14"/>
                <w:lang w:val="en-US" w:eastAsia="zh-CN" w:bidi="ar"/>
              </w:rPr>
              <w:t>较上月减少1个，其中，南京、厦门、嘉兴、温州涨幅相对较大，在3-4%之间；</w:t>
            </w:r>
            <w:r>
              <w:rPr>
                <w:rFonts w:hint="eastAsia" w:ascii="宋体" w:hAnsi="宋体" w:eastAsia="宋体" w:cs="宋体"/>
                <w:b/>
                <w:caps w:val="0"/>
                <w:spacing w:val="0"/>
                <w:kern w:val="0"/>
                <w:sz w:val="14"/>
                <w:szCs w:val="14"/>
                <w:lang w:val="en-US" w:eastAsia="zh-CN" w:bidi="ar"/>
              </w:rPr>
              <w:t>价格环比下跌的城市有22个，</w:t>
            </w:r>
            <w:r>
              <w:rPr>
                <w:rFonts w:hint="eastAsia" w:ascii="宋体" w:hAnsi="宋体" w:eastAsia="宋体" w:cs="宋体"/>
                <w:caps w:val="0"/>
                <w:spacing w:val="0"/>
                <w:kern w:val="0"/>
                <w:sz w:val="14"/>
                <w:szCs w:val="14"/>
                <w:lang w:val="en-US" w:eastAsia="zh-CN" w:bidi="ar"/>
              </w:rPr>
              <w:t>较上月减少2个，其中，北海、桂林、赣州跌幅超过1%；</w:t>
            </w:r>
            <w:r>
              <w:rPr>
                <w:rFonts w:hint="eastAsia" w:ascii="宋体" w:hAnsi="宋体" w:eastAsia="宋体" w:cs="宋体"/>
                <w:b/>
                <w:caps w:val="0"/>
                <w:spacing w:val="0"/>
                <w:kern w:val="0"/>
                <w:sz w:val="14"/>
                <w:szCs w:val="14"/>
                <w:lang w:val="en-US" w:eastAsia="zh-CN" w:bidi="ar"/>
              </w:rPr>
              <w:t>有5个城市与上月持平。</w:t>
            </w:r>
            <w:r>
              <w:rPr>
                <w:rFonts w:hint="eastAsia" w:ascii="宋体" w:hAnsi="宋体" w:eastAsia="宋体" w:cs="宋体"/>
                <w:caps w:val="0"/>
                <w:spacing w:val="0"/>
                <w:kern w:val="0"/>
                <w:sz w:val="14"/>
                <w:szCs w:val="14"/>
                <w:lang w:val="en-US" w:eastAsia="zh-CN" w:bidi="ar"/>
              </w:rPr>
              <w:t>同比来看，住宅均价</w:t>
            </w:r>
            <w:r>
              <w:rPr>
                <w:rFonts w:hint="eastAsia" w:ascii="宋体" w:hAnsi="宋体" w:eastAsia="宋体" w:cs="宋体"/>
                <w:b/>
                <w:caps w:val="0"/>
                <w:spacing w:val="0"/>
                <w:kern w:val="0"/>
                <w:sz w:val="14"/>
                <w:szCs w:val="14"/>
                <w:lang w:val="en-US" w:eastAsia="zh-CN" w:bidi="ar"/>
              </w:rPr>
              <w:t>较去年同期上涨11.18%，</w:t>
            </w:r>
            <w:r>
              <w:rPr>
                <w:rFonts w:hint="eastAsia" w:ascii="宋体" w:hAnsi="宋体" w:eastAsia="宋体" w:cs="宋体"/>
                <w:caps w:val="0"/>
                <w:spacing w:val="0"/>
                <w:kern w:val="0"/>
                <w:sz w:val="14"/>
                <w:szCs w:val="14"/>
                <w:lang w:val="en-US" w:eastAsia="zh-CN" w:bidi="ar"/>
              </w:rPr>
              <w:t>涨幅较上月扩大0.84个百分点。另外，北京、上海等十大城市（新建）住宅均价为22450元/平方米，环比上涨1.52%，同比上涨15.98%。</w:t>
            </w:r>
            <w:r>
              <w:rPr>
                <w:rFonts w:hint="eastAsia" w:ascii="宋体" w:hAnsi="宋体" w:eastAsia="宋体" w:cs="宋体"/>
                <w:b/>
                <w:caps w:val="0"/>
                <w:spacing w:val="0"/>
                <w:kern w:val="0"/>
                <w:sz w:val="14"/>
                <w:szCs w:val="14"/>
                <w:lang w:val="en-US" w:eastAsia="zh-CN" w:bidi="ar"/>
              </w:rPr>
              <w:t>整体来看，6月百城住宅均价环比涨幅收窄，同比涨幅继续扩大，各线城市房价涨幅均有所放缓。</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7"/>
                <w:szCs w:val="27"/>
                <w:lang w:val="en-US" w:eastAsia="zh-CN" w:bidi="ar"/>
              </w:rPr>
              <w:t>三、本地楼市成交情况</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1、宜昌城区住宅成交情况</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8572500" cy="4476750"/>
                  <wp:effectExtent l="0" t="0" r="762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8572500" cy="4476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8582025" cy="4267200"/>
                  <wp:effectExtent l="0" t="0" r="13335" b="0"/>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5"/>
                          <a:stretch>
                            <a:fillRect/>
                          </a:stretch>
                        </pic:blipFill>
                        <pic:spPr>
                          <a:xfrm>
                            <a:off x="0" y="0"/>
                            <a:ext cx="8582025" cy="4267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2016年6月，宜昌城区新房住宅成交1906套，</w:t>
            </w:r>
            <w:r>
              <w:rPr>
                <w:rFonts w:hint="eastAsia" w:ascii="宋体" w:hAnsi="宋体" w:eastAsia="宋体" w:cs="宋体"/>
                <w:caps w:val="0"/>
                <w:spacing w:val="0"/>
                <w:kern w:val="0"/>
                <w:sz w:val="14"/>
                <w:szCs w:val="14"/>
                <w:lang w:val="en-US" w:eastAsia="zh-CN" w:bidi="ar"/>
              </w:rPr>
              <w:t>环比上涨2.4%，同比上涨40.3%；</w:t>
            </w:r>
            <w:r>
              <w:rPr>
                <w:rStyle w:val="7"/>
                <w:rFonts w:hint="eastAsia" w:ascii="宋体" w:hAnsi="宋体" w:eastAsia="宋体" w:cs="宋体"/>
                <w:caps w:val="0"/>
                <w:spacing w:val="0"/>
                <w:kern w:val="0"/>
                <w:sz w:val="14"/>
                <w:szCs w:val="14"/>
                <w:lang w:val="en-US" w:eastAsia="zh-CN" w:bidi="ar"/>
              </w:rPr>
              <w:t>成交面积20.96万方</w:t>
            </w:r>
            <w:r>
              <w:rPr>
                <w:rFonts w:hint="eastAsia" w:ascii="宋体" w:hAnsi="宋体" w:eastAsia="宋体" w:cs="宋体"/>
                <w:caps w:val="0"/>
                <w:spacing w:val="0"/>
                <w:kern w:val="0"/>
                <w:sz w:val="14"/>
                <w:szCs w:val="14"/>
                <w:lang w:val="en-US" w:eastAsia="zh-CN" w:bidi="ar"/>
              </w:rPr>
              <w:t>，环比下跌2.4%，同比上涨40.6%；</w:t>
            </w:r>
            <w:r>
              <w:rPr>
                <w:rStyle w:val="7"/>
                <w:rFonts w:hint="eastAsia" w:ascii="宋体" w:hAnsi="宋体" w:eastAsia="宋体" w:cs="宋体"/>
                <w:caps w:val="0"/>
                <w:spacing w:val="0"/>
                <w:kern w:val="0"/>
                <w:sz w:val="14"/>
                <w:szCs w:val="14"/>
                <w:lang w:val="en-US" w:eastAsia="zh-CN" w:bidi="ar"/>
              </w:rPr>
              <w:t>成交总额约11.42亿元</w:t>
            </w:r>
            <w:r>
              <w:rPr>
                <w:rFonts w:hint="eastAsia" w:ascii="宋体" w:hAnsi="宋体" w:eastAsia="宋体" w:cs="宋体"/>
                <w:caps w:val="0"/>
                <w:spacing w:val="0"/>
                <w:kern w:val="0"/>
                <w:sz w:val="14"/>
                <w:szCs w:val="14"/>
                <w:lang w:val="en-US" w:eastAsia="zh-CN" w:bidi="ar"/>
              </w:rPr>
              <w:t>，环比下跌7.5%，同比上涨43.3%；成交均价为5450元/㎡，环比下跌5.2%，同比上涨1.91%。本月成交套数虽增加，但面积、总额和成交均价减少，主要是由于5月“碧桂园·御园”改善型别墅及精装修产品入市拉高了上月均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752975" cy="3067050"/>
                  <wp:effectExtent l="0" t="0" r="1905" b="11430"/>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6"/>
                          <a:stretch>
                            <a:fillRect/>
                          </a:stretch>
                        </pic:blipFill>
                        <pic:spPr>
                          <a:xfrm>
                            <a:off x="0" y="0"/>
                            <a:ext cx="4752975" cy="3067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848225" cy="3057525"/>
                  <wp:effectExtent l="0" t="0" r="13335" b="57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848225" cy="3057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2016年6月，从各区域成交情况来看，</w:t>
            </w:r>
            <w:r>
              <w:rPr>
                <w:rStyle w:val="7"/>
                <w:rFonts w:hint="eastAsia" w:ascii="宋体" w:hAnsi="宋体" w:eastAsia="宋体" w:cs="宋体"/>
                <w:caps w:val="0"/>
                <w:spacing w:val="0"/>
                <w:kern w:val="0"/>
                <w:sz w:val="14"/>
                <w:szCs w:val="14"/>
                <w:lang w:val="en-US" w:eastAsia="zh-CN" w:bidi="ar"/>
              </w:rPr>
              <w:t>伍家区成交1089套</w:t>
            </w:r>
            <w:r>
              <w:rPr>
                <w:rFonts w:hint="eastAsia" w:ascii="宋体" w:hAnsi="宋体" w:eastAsia="宋体" w:cs="宋体"/>
                <w:caps w:val="0"/>
                <w:spacing w:val="0"/>
                <w:kern w:val="0"/>
                <w:sz w:val="14"/>
                <w:szCs w:val="14"/>
                <w:lang w:val="en-US" w:eastAsia="zh-CN" w:bidi="ar"/>
              </w:rPr>
              <w:t>，占比高达57%，位居首位，环比上涨6.2%，同比上涨84.3%。区内中建·宜昌之星、新华广场、山水华庭等项目销售较好；</w:t>
            </w:r>
            <w:r>
              <w:rPr>
                <w:rStyle w:val="7"/>
                <w:rFonts w:hint="eastAsia" w:ascii="宋体" w:hAnsi="宋体" w:eastAsia="宋体" w:cs="宋体"/>
                <w:caps w:val="0"/>
                <w:spacing w:val="0"/>
                <w:kern w:val="0"/>
                <w:sz w:val="14"/>
                <w:szCs w:val="14"/>
                <w:lang w:val="en-US" w:eastAsia="zh-CN" w:bidi="ar"/>
              </w:rPr>
              <w:t>夷陵区成交310套</w:t>
            </w:r>
            <w:r>
              <w:rPr>
                <w:rFonts w:hint="eastAsia" w:ascii="宋体" w:hAnsi="宋体" w:eastAsia="宋体" w:cs="宋体"/>
                <w:caps w:val="0"/>
                <w:spacing w:val="0"/>
                <w:kern w:val="0"/>
                <w:sz w:val="14"/>
                <w:szCs w:val="14"/>
                <w:lang w:val="en-US" w:eastAsia="zh-CN" w:bidi="ar"/>
              </w:rPr>
              <w:t>，占比16%，排名第二，环比下跌2.2%，同比下跌10.7%。区内中核·半岛城邦、国宾壹号二期、至上未来城等项目销售较好；</w:t>
            </w:r>
            <w:r>
              <w:rPr>
                <w:rStyle w:val="7"/>
                <w:rFonts w:hint="eastAsia" w:ascii="宋体" w:hAnsi="宋体" w:eastAsia="宋体" w:cs="宋体"/>
                <w:caps w:val="0"/>
                <w:spacing w:val="0"/>
                <w:kern w:val="0"/>
                <w:sz w:val="14"/>
                <w:szCs w:val="14"/>
                <w:lang w:val="en-US" w:eastAsia="zh-CN" w:bidi="ar"/>
              </w:rPr>
              <w:t>西陵开发区排名第三</w:t>
            </w:r>
            <w:r>
              <w:rPr>
                <w:rFonts w:hint="eastAsia" w:ascii="宋体" w:hAnsi="宋体" w:eastAsia="宋体" w:cs="宋体"/>
                <w:caps w:val="0"/>
                <w:spacing w:val="0"/>
                <w:kern w:val="0"/>
                <w:sz w:val="14"/>
                <w:szCs w:val="14"/>
                <w:lang w:val="en-US" w:eastAsia="zh-CN" w:bidi="ar"/>
              </w:rPr>
              <w:t>，成交198套，占比11%，环比下跌10.0%，同比上涨23.0%。区内春华星运城、恒大帝景、恒信·中央公园等项目销售较好。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762500" cy="3067050"/>
                  <wp:effectExtent l="0" t="0" r="7620" b="1143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4762500" cy="3067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848225" cy="3057525"/>
                  <wp:effectExtent l="0" t="0" r="13335" b="571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9"/>
                          <a:stretch>
                            <a:fillRect/>
                          </a:stretch>
                        </pic:blipFill>
                        <pic:spPr>
                          <a:xfrm>
                            <a:off x="0" y="0"/>
                            <a:ext cx="4848225" cy="3057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2016年二季度（ 4-6月），宜昌城区住宅共成交5587套，环比增长21.5%</w:t>
            </w:r>
            <w:r>
              <w:rPr>
                <w:rFonts w:hint="eastAsia" w:ascii="宋体" w:hAnsi="宋体" w:eastAsia="宋体" w:cs="宋体"/>
                <w:caps w:val="0"/>
                <w:spacing w:val="0"/>
                <w:kern w:val="0"/>
                <w:sz w:val="14"/>
                <w:szCs w:val="14"/>
                <w:lang w:val="en-US" w:eastAsia="zh-CN" w:bidi="ar"/>
              </w:rPr>
              <w:t>，同比增长28.0%。从各区域来看，前三甲依然是伍家区、夷陵区和西陵开发区。其中，伍家区成交3161套，占比56%，环比上涨24.9%，同比上涨72.5%；夷陵区成交947套，占比17%，环比上涨2.2%，同比下跌10.2%；西陵开发区成交658套，占比17%，环比上涨20.1%，同比上涨46.9%。</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2016年上半年（1-6月），宜昌城区住宅共成交10186套，均价5572元/㎡</w:t>
            </w:r>
            <w:r>
              <w:rPr>
                <w:rFonts w:hint="eastAsia" w:ascii="宋体" w:hAnsi="宋体" w:eastAsia="宋体" w:cs="宋体"/>
                <w:caps w:val="0"/>
                <w:spacing w:val="0"/>
                <w:kern w:val="0"/>
                <w:sz w:val="14"/>
                <w:szCs w:val="14"/>
                <w:lang w:val="en-US" w:eastAsia="zh-CN" w:bidi="ar"/>
              </w:rPr>
              <w:t>，与2015年下半年相比，套数下跌4.40%，均价上涨3.2%；与去年上半年同期相比，套数下跌2.5%， 均价上涨7.3%。环比下跌是因为去年9-11月中建·宜昌之星、中核·半岛城邦等项目都在去年下半年开盘热销；同比下跌是因为今年一月、二月成交量太低。可喜的是无论环比同比均价都是上涨的。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552950" cy="3009900"/>
                  <wp:effectExtent l="0" t="0" r="3810" b="762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4552950" cy="3009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581525" cy="3000375"/>
                  <wp:effectExtent l="0" t="0" r="5715" b="190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1"/>
                          <a:stretch>
                            <a:fillRect/>
                          </a:stretch>
                        </pic:blipFill>
                        <pic:spPr>
                          <a:xfrm>
                            <a:off x="0" y="0"/>
                            <a:ext cx="4581525" cy="3000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如上图所示：2015、2016年二季度每月成交套数比较稳定，价格波动大于套数波动。</w:t>
            </w:r>
            <w:r>
              <w:rPr>
                <w:rFonts w:hint="eastAsia" w:ascii="宋体" w:hAnsi="宋体" w:eastAsia="宋体" w:cs="宋体"/>
                <w:caps w:val="0"/>
                <w:spacing w:val="0"/>
                <w:kern w:val="0"/>
                <w:sz w:val="14"/>
                <w:szCs w:val="14"/>
                <w:lang w:val="en-US" w:eastAsia="zh-CN" w:bidi="ar"/>
              </w:rPr>
              <w:t>具体来看，2015年二季度每月成交套数最高和最低之间相差154套，呈“倒V”走势，2016年二季度每月最高和最低之间仅相差86套，走势逐月上升；价格方面，2015年二季度价格最高和最低之间相差216元/㎡，走势逐月上升，2016年二季度价格最高和最低之间相差300元/㎡，呈“倒V”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2、宜昌城区二手房成交情况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657725" cy="2962275"/>
                  <wp:effectExtent l="0" t="0" r="5715" b="952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4657725" cy="29622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533900" cy="2962275"/>
                  <wp:effectExtent l="0" t="0" r="7620" b="9525"/>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3"/>
                          <a:stretch>
                            <a:fillRect/>
                          </a:stretch>
                        </pic:blipFill>
                        <pic:spPr>
                          <a:xfrm>
                            <a:off x="0" y="0"/>
                            <a:ext cx="4533900" cy="29622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2016年6月，宜昌城区二手房成交866套，</w:t>
            </w:r>
            <w:r>
              <w:rPr>
                <w:rFonts w:hint="eastAsia" w:ascii="宋体" w:hAnsi="宋体" w:eastAsia="宋体" w:cs="宋体"/>
                <w:caps w:val="0"/>
                <w:spacing w:val="0"/>
                <w:kern w:val="0"/>
                <w:sz w:val="14"/>
                <w:szCs w:val="14"/>
                <w:lang w:val="en-US" w:eastAsia="zh-CN" w:bidi="ar"/>
              </w:rPr>
              <w:t>环比增长4.5%，同比增长36.6%；成交面积8.88万方，环比增长10.4%，同比增长52.4%；成交总额约2.94亿元，环比增长6.2%，同比增长56.8%；成交均价为3305元/㎡，环比下跌3.8%，同比增长2.9%。</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2016年二季度（4-6月），宜昌城区二手房共成交2727套，</w:t>
            </w:r>
            <w:r>
              <w:rPr>
                <w:rFonts w:hint="eastAsia" w:ascii="宋体" w:hAnsi="宋体" w:eastAsia="宋体" w:cs="宋体"/>
                <w:caps w:val="0"/>
                <w:spacing w:val="0"/>
                <w:kern w:val="0"/>
                <w:sz w:val="14"/>
                <w:szCs w:val="14"/>
                <w:lang w:val="en-US" w:eastAsia="zh-CN" w:bidi="ar"/>
              </w:rPr>
              <w:t>环比上一季度增长36.5%，同比去年增长47.2%。从区域来看，排前两位的今年和去年都是西陵区和伍家区。其中，西陵区今年二季度成交1228套，占比45%，位居第一，同比增长18.8%；伍家区成交729套，占比27%，排名第二，同比增长33%；第三名今年为夷陵区，去年为开发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2016年上半年（1-6月），宜昌城区二手房共成交4725套，成交面积46.39万方，成交总额为15.23亿元，成交均价3284元/㎡。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2"/>
              <w:keepNext w:val="0"/>
              <w:keepLines w:val="0"/>
              <w:widowControl/>
              <w:suppressLineNumbers w:val="0"/>
              <w:spacing w:line="24" w:lineRule="atLeast"/>
              <w:jc w:val="center"/>
            </w:pPr>
            <w:r>
              <w:rPr>
                <w:caps w:val="0"/>
                <w:spacing w:val="0"/>
                <w:sz w:val="27"/>
                <w:szCs w:val="27"/>
              </w:rPr>
              <w:t>第二部分   土地市场分析</w:t>
            </w:r>
          </w:p>
          <w:p>
            <w:pPr>
              <w:pStyle w:val="3"/>
              <w:keepNext w:val="0"/>
              <w:keepLines w:val="0"/>
              <w:widowControl/>
              <w:suppressLineNumbers w:val="0"/>
              <w:spacing w:line="24" w:lineRule="atLeast"/>
              <w:jc w:val="center"/>
            </w:pPr>
            <w:bookmarkStart w:id="13" w:name="_Toc398024655"/>
            <w:bookmarkEnd w:id="13"/>
            <w:bookmarkStart w:id="14" w:name="_Toc384797622"/>
            <w:bookmarkEnd w:id="14"/>
            <w:bookmarkStart w:id="15" w:name="_Toc384797306"/>
            <w:bookmarkEnd w:id="15"/>
            <w:bookmarkStart w:id="16" w:name="_Toc384797224"/>
            <w:bookmarkEnd w:id="16"/>
            <w:bookmarkStart w:id="17" w:name="_Toc384796965"/>
            <w:bookmarkEnd w:id="17"/>
            <w:bookmarkStart w:id="18" w:name="_Toc380050036"/>
            <w:bookmarkEnd w:id="18"/>
            <w:bookmarkStart w:id="19" w:name="_Toc353178132"/>
            <w:bookmarkEnd w:id="19"/>
            <w:bookmarkStart w:id="20" w:name="_Toc347757546"/>
            <w:bookmarkEnd w:id="20"/>
            <w:bookmarkStart w:id="21" w:name="_Toc339981458"/>
            <w:r>
              <w:rPr>
                <w:caps w:val="0"/>
                <w:spacing w:val="0"/>
                <w:sz w:val="27"/>
                <w:szCs w:val="27"/>
              </w:rPr>
              <w:t>一、土地供应市场解析</w:t>
            </w:r>
            <w:bookmarkEnd w:id="21"/>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2" w:name="_Toc380050037"/>
            <w:bookmarkEnd w:id="22"/>
            <w:bookmarkStart w:id="23" w:name="_Toc350245826"/>
            <w:r>
              <w:rPr>
                <w:rFonts w:hint="eastAsia" w:ascii="宋体" w:hAnsi="宋体" w:eastAsia="宋体" w:cs="宋体"/>
                <w:b/>
                <w:caps w:val="0"/>
                <w:spacing w:val="0"/>
                <w:kern w:val="0"/>
                <w:sz w:val="14"/>
                <w:szCs w:val="14"/>
                <w:lang w:val="en-US" w:eastAsia="zh-CN" w:bidi="ar"/>
              </w:rPr>
              <w:t>1</w:t>
            </w:r>
            <w:bookmarkEnd w:id="23"/>
            <w:r>
              <w:rPr>
                <w:rFonts w:hint="eastAsia" w:ascii="宋体" w:hAnsi="宋体" w:eastAsia="宋体" w:cs="宋体"/>
                <w:b/>
                <w:caps w:val="0"/>
                <w:spacing w:val="0"/>
                <w:kern w:val="0"/>
                <w:sz w:val="14"/>
                <w:szCs w:val="14"/>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本月出让土地仅1宗，出让面积12142.91平方米，出让金额为2914万元。相比去年同期，土地供应不景气。</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b/>
                <w:caps w:val="0"/>
                <w:spacing w:val="0"/>
                <w:sz w:val="14"/>
                <w:szCs w:val="14"/>
              </w:rPr>
            </w:pPr>
            <w:r>
              <w:rPr>
                <w:rFonts w:hint="eastAsia" w:ascii="宋体" w:hAnsi="宋体" w:eastAsia="宋体" w:cs="宋体"/>
                <w:b/>
                <w:caps w:val="0"/>
                <w:spacing w:val="0"/>
                <w:kern w:val="0"/>
                <w:sz w:val="14"/>
                <w:szCs w:val="14"/>
                <w:lang w:val="en-US" w:eastAsia="zh-CN" w:bidi="ar"/>
              </w:rPr>
              <w:t>2015年6月-2016年6月宜昌城区土地供给横向对比</w:t>
            </w:r>
          </w:p>
          <w:tbl>
            <w:tblPr>
              <w:tblW w:w="8306" w:type="dxa"/>
              <w:tblInd w:w="-469" w:type="dxa"/>
              <w:shd w:val="clear"/>
              <w:tblLayout w:type="fixed"/>
              <w:tblCellMar>
                <w:top w:w="0" w:type="dxa"/>
                <w:left w:w="0" w:type="dxa"/>
                <w:bottom w:w="0" w:type="dxa"/>
                <w:right w:w="0" w:type="dxa"/>
              </w:tblCellMar>
            </w:tblPr>
            <w:tblGrid>
              <w:gridCol w:w="431"/>
              <w:gridCol w:w="644"/>
              <w:gridCol w:w="644"/>
              <w:gridCol w:w="573"/>
              <w:gridCol w:w="644"/>
              <w:gridCol w:w="644"/>
              <w:gridCol w:w="644"/>
              <w:gridCol w:w="644"/>
              <w:gridCol w:w="573"/>
              <w:gridCol w:w="573"/>
              <w:gridCol w:w="431"/>
              <w:gridCol w:w="644"/>
              <w:gridCol w:w="644"/>
              <w:gridCol w:w="573"/>
            </w:tblGrid>
            <w:tr>
              <w:tblPrEx>
                <w:shd w:val="clear"/>
                <w:tblLayout w:type="fixed"/>
                <w:tblCellMar>
                  <w:top w:w="0" w:type="dxa"/>
                  <w:left w:w="0" w:type="dxa"/>
                  <w:bottom w:w="0" w:type="dxa"/>
                  <w:right w:w="0" w:type="dxa"/>
                </w:tblCellMar>
              </w:tblPrEx>
              <w:trPr>
                <w:trHeight w:val="311" w:hRule="atLeast"/>
              </w:trPr>
              <w:tc>
                <w:tcPr>
                  <w:tcW w:w="431" w:type="dxa"/>
                  <w:tcBorders>
                    <w:top w:val="single" w:color="auto" w:sz="8" w:space="0"/>
                    <w:left w:val="single" w:color="auto" w:sz="8" w:space="0"/>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年</w:t>
                  </w:r>
                </w:p>
              </w:tc>
              <w:tc>
                <w:tcPr>
                  <w:tcW w:w="4437" w:type="dxa"/>
                  <w:gridSpan w:val="7"/>
                  <w:tcBorders>
                    <w:top w:val="single" w:color="auto" w:sz="8" w:space="0"/>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24"/>
                      <w:szCs w:val="24"/>
                      <w:lang w:val="en-US" w:eastAsia="zh-CN" w:bidi="ar"/>
                    </w:rPr>
                    <w:t>2015年</w:t>
                  </w:r>
                </w:p>
              </w:tc>
              <w:tc>
                <w:tcPr>
                  <w:tcW w:w="3438" w:type="dxa"/>
                  <w:gridSpan w:val="6"/>
                  <w:tcBorders>
                    <w:top w:val="single" w:color="auto" w:sz="8" w:space="0"/>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24"/>
                      <w:szCs w:val="24"/>
                      <w:lang w:val="en-US" w:eastAsia="zh-CN" w:bidi="ar"/>
                    </w:rPr>
                    <w:t>2016年</w:t>
                  </w:r>
                </w:p>
              </w:tc>
            </w:tr>
            <w:tr>
              <w:tblPrEx>
                <w:shd w:val="clear"/>
                <w:tblLayout w:type="fixed"/>
                <w:tblCellMar>
                  <w:top w:w="0" w:type="dxa"/>
                  <w:left w:w="0" w:type="dxa"/>
                  <w:bottom w:w="0" w:type="dxa"/>
                  <w:right w:w="0" w:type="dxa"/>
                </w:tblCellMar>
              </w:tblPrEx>
              <w:trPr>
                <w:trHeight w:val="518" w:hRule="atLeast"/>
              </w:trPr>
              <w:tc>
                <w:tcPr>
                  <w:tcW w:w="431" w:type="dxa"/>
                  <w:tcBorders>
                    <w:top w:val="nil"/>
                    <w:left w:val="single" w:color="auto" w:sz="8" w:space="0"/>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6月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7月</w:t>
                  </w:r>
                </w:p>
              </w:tc>
              <w:tc>
                <w:tcPr>
                  <w:tcW w:w="573"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8月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9月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10月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11月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12月</w:t>
                  </w:r>
                </w:p>
              </w:tc>
              <w:tc>
                <w:tcPr>
                  <w:tcW w:w="573"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1月</w:t>
                  </w:r>
                </w:p>
              </w:tc>
              <w:tc>
                <w:tcPr>
                  <w:tcW w:w="573"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2月</w:t>
                  </w:r>
                </w:p>
              </w:tc>
              <w:tc>
                <w:tcPr>
                  <w:tcW w:w="431"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3月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4月</w:t>
                  </w:r>
                </w:p>
              </w:tc>
              <w:tc>
                <w:tcPr>
                  <w:tcW w:w="644"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24"/>
                      <w:szCs w:val="24"/>
                      <w:lang w:val="en-US" w:eastAsia="zh-CN" w:bidi="ar"/>
                    </w:rPr>
                    <w:t>5月</w:t>
                  </w:r>
                </w:p>
              </w:tc>
              <w:tc>
                <w:tcPr>
                  <w:tcW w:w="573" w:type="dxa"/>
                  <w:tcBorders>
                    <w:top w:val="nil"/>
                    <w:left w:val="nil"/>
                    <w:bottom w:val="single" w:color="auto" w:sz="8" w:space="0"/>
                    <w:right w:val="single" w:color="auto" w:sz="8" w:space="0"/>
                  </w:tcBorders>
                  <w:shd w:val="clear" w:color="auto" w:fill="808080"/>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24"/>
                      <w:szCs w:val="24"/>
                      <w:lang w:val="en-US" w:eastAsia="zh-CN" w:bidi="ar"/>
                    </w:rPr>
                    <w:t>6月</w:t>
                  </w:r>
                </w:p>
              </w:tc>
            </w:tr>
            <w:tr>
              <w:tblPrEx>
                <w:shd w:val="clear"/>
                <w:tblLayout w:type="fixed"/>
                <w:tblCellMar>
                  <w:top w:w="0" w:type="dxa"/>
                  <w:left w:w="0" w:type="dxa"/>
                  <w:bottom w:w="0" w:type="dxa"/>
                  <w:right w:w="0" w:type="dxa"/>
                </w:tblCellMar>
              </w:tblPrEx>
              <w:trPr>
                <w:trHeight w:val="456" w:hRule="atLeast"/>
              </w:trPr>
              <w:tc>
                <w:tcPr>
                  <w:tcW w:w="431"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16"/>
                      <w:szCs w:val="16"/>
                      <w:lang w:val="en-US" w:eastAsia="zh-CN" w:bidi="ar"/>
                    </w:rPr>
                    <w:t>数量/宗</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16</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17</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5</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11</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6</w:t>
                  </w:r>
                </w:p>
              </w:tc>
              <w:tc>
                <w:tcPr>
                  <w:tcW w:w="644"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9</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10</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4</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3</w:t>
                  </w:r>
                </w:p>
              </w:tc>
              <w:tc>
                <w:tcPr>
                  <w:tcW w:w="43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0</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8</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19</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w:t>
                  </w:r>
                </w:p>
              </w:tc>
            </w:tr>
            <w:tr>
              <w:tblPrEx>
                <w:tblLayout w:type="fixed"/>
                <w:tblCellMar>
                  <w:top w:w="0" w:type="dxa"/>
                  <w:left w:w="0" w:type="dxa"/>
                  <w:bottom w:w="0" w:type="dxa"/>
                  <w:right w:w="0" w:type="dxa"/>
                </w:tblCellMar>
              </w:tblPrEx>
              <w:trPr>
                <w:trHeight w:val="406" w:hRule="atLeast"/>
              </w:trPr>
              <w:tc>
                <w:tcPr>
                  <w:tcW w:w="431"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16"/>
                      <w:szCs w:val="16"/>
                      <w:lang w:val="en-US" w:eastAsia="zh-CN" w:bidi="ar"/>
                    </w:rPr>
                    <w:t>面积/</w:t>
                  </w:r>
                  <w:r>
                    <w:rPr>
                      <w:rFonts w:hint="eastAsia" w:ascii="宋体" w:hAnsi="宋体" w:eastAsia="宋体" w:cs="宋体"/>
                      <w:kern w:val="0"/>
                      <w:sz w:val="16"/>
                      <w:szCs w:val="16"/>
                      <w:lang w:val="en-US" w:eastAsia="zh-CN" w:bidi="ar"/>
                    </w:rPr>
                    <w:t>㎡</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708881</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920397</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98842</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761934</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416281</w:t>
                  </w:r>
                </w:p>
              </w:tc>
              <w:tc>
                <w:tcPr>
                  <w:tcW w:w="644"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201207</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197835</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78621</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87283</w:t>
                  </w:r>
                </w:p>
              </w:tc>
              <w:tc>
                <w:tcPr>
                  <w:tcW w:w="43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0</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149685</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626441</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12143</w:t>
                  </w:r>
                </w:p>
              </w:tc>
            </w:tr>
            <w:tr>
              <w:tblPrEx>
                <w:tblLayout w:type="fixed"/>
                <w:tblCellMar>
                  <w:top w:w="0" w:type="dxa"/>
                  <w:left w:w="0" w:type="dxa"/>
                  <w:bottom w:w="0" w:type="dxa"/>
                  <w:right w:w="0" w:type="dxa"/>
                </w:tblCellMar>
              </w:tblPrEx>
              <w:trPr>
                <w:trHeight w:val="485" w:hRule="atLeast"/>
              </w:trPr>
              <w:tc>
                <w:tcPr>
                  <w:tcW w:w="431" w:type="dxa"/>
                  <w:tcBorders>
                    <w:top w:val="nil"/>
                    <w:left w:val="single" w:color="auto" w:sz="8" w:space="0"/>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kern w:val="0"/>
                      <w:sz w:val="16"/>
                      <w:szCs w:val="16"/>
                      <w:lang w:val="en-US" w:eastAsia="zh-CN" w:bidi="ar"/>
                    </w:rPr>
                    <w:t>总额/万</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93336</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179619</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13273</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35029</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197791</w:t>
                  </w:r>
                </w:p>
              </w:tc>
              <w:tc>
                <w:tcPr>
                  <w:tcW w:w="644" w:type="dxa"/>
                  <w:tcBorders>
                    <w:top w:val="nil"/>
                    <w:left w:val="nil"/>
                    <w:bottom w:val="single" w:color="auto" w:sz="8" w:space="0"/>
                    <w:right w:val="single" w:color="auto" w:sz="8" w:space="0"/>
                  </w:tcBorders>
                  <w:shd w:val="clear" w:color="auto" w:fill="FFFFFF"/>
                  <w:tcMar>
                    <w:left w:w="108" w:type="dxa"/>
                    <w:right w:w="108" w:type="dxa"/>
                  </w:tcMar>
                  <w:vAlign w:val="center"/>
                </w:tcPr>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kern w:val="0"/>
                      <w:sz w:val="16"/>
                      <w:szCs w:val="16"/>
                      <w:lang w:val="en-US" w:eastAsia="zh-CN" w:bidi="ar"/>
                    </w:rPr>
                    <w:t>24898</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29112</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17454</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5838</w:t>
                  </w:r>
                </w:p>
              </w:tc>
              <w:tc>
                <w:tcPr>
                  <w:tcW w:w="431"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0</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15543</w:t>
                  </w:r>
                </w:p>
              </w:tc>
              <w:tc>
                <w:tcPr>
                  <w:tcW w:w="644"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21693</w:t>
                  </w:r>
                </w:p>
              </w:tc>
              <w:tc>
                <w:tcPr>
                  <w:tcW w:w="573"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16"/>
                      <w:szCs w:val="16"/>
                      <w:lang w:val="en-US" w:eastAsia="zh-CN" w:bidi="ar"/>
                    </w:rPr>
                    <w:t>2914</w:t>
                  </w:r>
                </w:p>
              </w:tc>
            </w:tr>
          </w:tbl>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2、本月出让的住宅及商业用地详情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【夷G（2016）16号】地块，</w:t>
            </w:r>
            <w:r>
              <w:rPr>
                <w:rFonts w:hint="eastAsia" w:ascii="宋体" w:hAnsi="宋体" w:eastAsia="宋体" w:cs="宋体"/>
                <w:caps w:val="0"/>
                <w:spacing w:val="0"/>
                <w:kern w:val="0"/>
                <w:sz w:val="14"/>
                <w:szCs w:val="14"/>
                <w:lang w:val="en-US" w:eastAsia="zh-CN" w:bidi="ar"/>
              </w:rPr>
              <w:t> 位于夷陵区东城城乡统筹发展试验区梅子垭村，用途为住宅用地，出让面积为12142.91平方米（合18.21亩），容积率3.0，预计未来放量约36428.73平方米（只含地上建筑面积）。</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6391275" cy="3514725"/>
                  <wp:effectExtent l="0" t="0" r="9525" b="5715"/>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4"/>
                          <a:stretch>
                            <a:fillRect/>
                          </a:stretch>
                        </pic:blipFill>
                        <pic:spPr>
                          <a:xfrm>
                            <a:off x="0" y="0"/>
                            <a:ext cx="6391275" cy="35147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jc w:val="center"/>
            </w:pPr>
            <w:r>
              <w:rPr>
                <w:caps w:val="0"/>
                <w:spacing w:val="0"/>
                <w:sz w:val="27"/>
                <w:szCs w:val="27"/>
              </w:rPr>
              <w:t>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本月成交土地13宗，成交面积43.58万方，成交总额1.35亿元，成交均价约21万元/亩。</w:t>
            </w:r>
            <w:r>
              <w:rPr>
                <w:rFonts w:hint="eastAsia" w:ascii="宋体" w:hAnsi="宋体" w:eastAsia="宋体" w:cs="宋体"/>
                <w:caps w:val="0"/>
                <w:spacing w:val="0"/>
                <w:kern w:val="0"/>
                <w:sz w:val="14"/>
                <w:szCs w:val="14"/>
                <w:lang w:val="en-US" w:eastAsia="zh-CN" w:bidi="ar"/>
              </w:rPr>
              <w:t>与上月相比，地块增加了8宗，面积增加了35.94万方，环比上涨470%；同比来看，去年6月土地成交为0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2016年6月宜昌城区土地成交情况</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bl>
            <w:tblPr>
              <w:tblW w:w="10915" w:type="dxa"/>
              <w:jc w:val="center"/>
              <w:tblInd w:w="-1314" w:type="dxa"/>
              <w:shd w:val="clear"/>
              <w:tblLayout w:type="fixed"/>
              <w:tblCellMar>
                <w:top w:w="0" w:type="dxa"/>
                <w:left w:w="0" w:type="dxa"/>
                <w:bottom w:w="0" w:type="dxa"/>
                <w:right w:w="0" w:type="dxa"/>
              </w:tblCellMar>
            </w:tblPr>
            <w:tblGrid>
              <w:gridCol w:w="1843"/>
              <w:gridCol w:w="3544"/>
              <w:gridCol w:w="936"/>
              <w:gridCol w:w="709"/>
              <w:gridCol w:w="1046"/>
              <w:gridCol w:w="2837"/>
            </w:tblGrid>
            <w:tr>
              <w:tblPrEx>
                <w:shd w:val="clear"/>
                <w:tblLayout w:type="fixed"/>
                <w:tblCellMar>
                  <w:top w:w="0" w:type="dxa"/>
                  <w:left w:w="0" w:type="dxa"/>
                  <w:bottom w:w="0" w:type="dxa"/>
                  <w:right w:w="0" w:type="dxa"/>
                </w:tblCellMar>
              </w:tblPrEx>
              <w:trPr>
                <w:trHeight w:val="472" w:hRule="atLeast"/>
                <w:jc w:val="center"/>
              </w:trPr>
              <w:tc>
                <w:tcPr>
                  <w:tcW w:w="1843" w:type="dxa"/>
                  <w:tcBorders>
                    <w:top w:val="single" w:color="auto" w:sz="8" w:space="0"/>
                    <w:left w:val="single" w:color="auto" w:sz="8" w:space="0"/>
                    <w:bottom w:val="single" w:color="auto" w:sz="8" w:space="0"/>
                    <w:right w:val="single" w:color="auto" w:sz="8" w:space="0"/>
                  </w:tcBorders>
                  <w:shd w:val="clear" w:color="auto" w:fill="969696"/>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18"/>
                      <w:szCs w:val="18"/>
                      <w:lang w:val="en-US" w:eastAsia="zh-CN" w:bidi="ar"/>
                    </w:rPr>
                    <w:t>地块名称</w:t>
                  </w:r>
                </w:p>
              </w:tc>
              <w:tc>
                <w:tcPr>
                  <w:tcW w:w="3544" w:type="dxa"/>
                  <w:tcBorders>
                    <w:top w:val="single" w:color="auto" w:sz="8" w:space="0"/>
                    <w:left w:val="nil"/>
                    <w:bottom w:val="single" w:color="auto" w:sz="8" w:space="0"/>
                    <w:right w:val="single" w:color="auto" w:sz="8" w:space="0"/>
                  </w:tcBorders>
                  <w:shd w:val="clear" w:color="auto" w:fill="969696"/>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18"/>
                      <w:szCs w:val="18"/>
                      <w:lang w:val="en-US" w:eastAsia="zh-CN" w:bidi="ar"/>
                    </w:rPr>
                    <w:t>位置</w:t>
                  </w:r>
                </w:p>
              </w:tc>
              <w:tc>
                <w:tcPr>
                  <w:tcW w:w="936" w:type="dxa"/>
                  <w:tcBorders>
                    <w:top w:val="single" w:color="auto" w:sz="8" w:space="0"/>
                    <w:left w:val="nil"/>
                    <w:bottom w:val="single" w:color="auto" w:sz="8" w:space="0"/>
                    <w:right w:val="single" w:color="auto" w:sz="8" w:space="0"/>
                  </w:tcBorders>
                  <w:shd w:val="clear" w:color="auto" w:fill="969696"/>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18"/>
                      <w:szCs w:val="18"/>
                      <w:lang w:val="en-US" w:eastAsia="zh-CN" w:bidi="ar"/>
                    </w:rPr>
                    <w:t>面积（㎡）</w:t>
                  </w:r>
                </w:p>
              </w:tc>
              <w:tc>
                <w:tcPr>
                  <w:tcW w:w="709" w:type="dxa"/>
                  <w:tcBorders>
                    <w:top w:val="single" w:color="auto" w:sz="8" w:space="0"/>
                    <w:left w:val="nil"/>
                    <w:bottom w:val="single" w:color="auto" w:sz="8" w:space="0"/>
                    <w:right w:val="single" w:color="auto" w:sz="8" w:space="0"/>
                  </w:tcBorders>
                  <w:shd w:val="clear" w:color="auto" w:fill="969696"/>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kern w:val="0"/>
                      <w:sz w:val="18"/>
                      <w:szCs w:val="18"/>
                      <w:lang w:val="en-US" w:eastAsia="zh-CN" w:bidi="ar"/>
                    </w:rPr>
                    <w:t>用途</w:t>
                  </w:r>
                </w:p>
              </w:tc>
              <w:tc>
                <w:tcPr>
                  <w:tcW w:w="1046" w:type="dxa"/>
                  <w:tcBorders>
                    <w:top w:val="single" w:color="auto" w:sz="8" w:space="0"/>
                    <w:left w:val="nil"/>
                    <w:bottom w:val="single" w:color="auto" w:sz="8" w:space="0"/>
                    <w:right w:val="single" w:color="auto" w:sz="8" w:space="0"/>
                  </w:tcBorders>
                  <w:shd w:val="clear" w:color="auto" w:fill="A5A5A5"/>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color w:val="000000"/>
                      <w:kern w:val="0"/>
                      <w:sz w:val="18"/>
                      <w:szCs w:val="18"/>
                      <w:lang w:val="en-US" w:eastAsia="zh-CN" w:bidi="ar"/>
                    </w:rPr>
                    <w:t>成交价（万）</w:t>
                  </w:r>
                </w:p>
              </w:tc>
              <w:tc>
                <w:tcPr>
                  <w:tcW w:w="2837" w:type="dxa"/>
                  <w:tcBorders>
                    <w:top w:val="single" w:color="auto" w:sz="8" w:space="0"/>
                    <w:left w:val="nil"/>
                    <w:bottom w:val="single" w:color="auto" w:sz="8" w:space="0"/>
                    <w:right w:val="single" w:color="auto" w:sz="8" w:space="0"/>
                  </w:tcBorders>
                  <w:shd w:val="clear" w:color="auto" w:fill="A5A5A5"/>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color w:val="000000"/>
                      <w:kern w:val="0"/>
                      <w:sz w:val="18"/>
                      <w:szCs w:val="18"/>
                      <w:lang w:val="en-US" w:eastAsia="zh-CN" w:bidi="ar"/>
                    </w:rPr>
                    <w:t>竞得人</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宜土网挂（2016）5号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伍家乡共同村金花路旁</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20034.00</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759.00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宜昌市捷兴塑料制品有限责任公司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宜土网挂（2016）6号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伍家乡共同村金花路旁</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27620.00</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1049</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宜昌市统领傢俬有限公司</w:t>
                  </w:r>
                </w:p>
              </w:tc>
            </w:tr>
            <w:tr>
              <w:tblPrEx>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宜土网挂（2016）7号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猇亭区猇亭大道277号</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3603.68</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104</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宜昌市宜恒机动车服务有限责任公司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宜土网挂（2016）8号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猇亭区原虎牙街道办事处旁边</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11039.96</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318.50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湖北泰盛化工有限公司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宜土网挂（2016）9号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猇亭区原虎牙街道办事处旁边</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17131.44</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494.10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湖北晟隆达科技有限公司</w:t>
                  </w:r>
                </w:p>
              </w:tc>
            </w:tr>
            <w:tr>
              <w:tblPrEx>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宜土网挂（2016）10号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猇亭园区宜化循环经济园区内</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4739.95</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136.90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宜昌升华新能源科技有限公司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宜土网挂（2016）11号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猇亭区先锋路</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65677.70</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1894.50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湖北华强科技有限责任公司</w:t>
                  </w:r>
                </w:p>
              </w:tc>
            </w:tr>
            <w:tr>
              <w:tblPrEx>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宜土网挂（2016）13号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猇亭区先锋一路</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107893.18</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3109</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湖北兴瑞化工有限公司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宜土网挂（2016）14号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高新区电子信息产业园天台路</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4433.14</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128</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湖北九安机械制造有限责任公司</w:t>
                  </w:r>
                </w:p>
              </w:tc>
            </w:tr>
            <w:tr>
              <w:tblPrEx>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宜土网挂（2016）15号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高新区电子信息产业园天台路与团结路交汇处</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8726.14</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253</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宜昌桥丰工具制造有限公司</w:t>
                  </w:r>
                </w:p>
              </w:tc>
            </w:tr>
            <w:tr>
              <w:tblPrEx>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宜土网挂（2016）16号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高新区生物产业园花溪路与桔乡路交叉口南侧</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96671.22</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2786.00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宜昌高新投资开发有限公司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夷G[2016]12号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太平溪镇许家冲村</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2387.55</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55.00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宜昌三峡置业有限公司</w:t>
                  </w:r>
                </w:p>
              </w:tc>
            </w:tr>
            <w:tr>
              <w:tblPrEx>
                <w:shd w:val="clear"/>
                <w:tblLayout w:type="fixed"/>
                <w:tblCellMar>
                  <w:top w:w="0" w:type="dxa"/>
                  <w:left w:w="0" w:type="dxa"/>
                  <w:bottom w:w="0" w:type="dxa"/>
                  <w:right w:w="0" w:type="dxa"/>
                </w:tblCellMar>
              </w:tblPrEx>
              <w:trPr>
                <w:trHeight w:val="472" w:hRule="atLeast"/>
                <w:jc w:val="center"/>
              </w:trPr>
              <w:tc>
                <w:tcPr>
                  <w:tcW w:w="1843" w:type="dxa"/>
                  <w:tcBorders>
                    <w:top w:val="nil"/>
                    <w:left w:val="single" w:color="auto" w:sz="8" w:space="0"/>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夷G[2016]14号</w:t>
                  </w:r>
                </w:p>
              </w:tc>
              <w:tc>
                <w:tcPr>
                  <w:tcW w:w="3544"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东城城乡统筹发展试验区郭家湾村</w:t>
                  </w:r>
                </w:p>
              </w:tc>
              <w:tc>
                <w:tcPr>
                  <w:tcW w:w="936"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65866.54</w:t>
                  </w:r>
                </w:p>
              </w:tc>
              <w:tc>
                <w:tcPr>
                  <w:tcW w:w="709" w:type="dxa"/>
                  <w:tcBorders>
                    <w:top w:val="nil"/>
                    <w:left w:val="nil"/>
                    <w:bottom w:val="single" w:color="auto" w:sz="8" w:space="0"/>
                    <w:right w:val="single" w:color="auto" w:sz="8" w:space="0"/>
                  </w:tcBorders>
                  <w:shd w:val="clear"/>
                  <w:noWrap/>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工业</w:t>
                  </w:r>
                </w:p>
              </w:tc>
              <w:tc>
                <w:tcPr>
                  <w:tcW w:w="1046"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2392.00</w:t>
                  </w:r>
                </w:p>
              </w:tc>
              <w:tc>
                <w:tcPr>
                  <w:tcW w:w="2837" w:type="dxa"/>
                  <w:tcBorders>
                    <w:top w:val="nil"/>
                    <w:left w:val="nil"/>
                    <w:bottom w:val="single" w:color="auto" w:sz="8" w:space="0"/>
                    <w:right w:val="single" w:color="auto" w:sz="8" w:space="0"/>
                  </w:tcBorders>
                  <w:shd w:val="clear"/>
                  <w:tcMar>
                    <w:left w:w="108" w:type="dxa"/>
                    <w:right w:w="108" w:type="dxa"/>
                  </w:tcMar>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color w:val="000000"/>
                      <w:kern w:val="0"/>
                      <w:sz w:val="16"/>
                      <w:szCs w:val="16"/>
                      <w:lang w:val="en-US" w:eastAsia="zh-CN" w:bidi="ar"/>
                    </w:rPr>
                    <w:t>宜昌正德置业有限公司</w:t>
                  </w:r>
                </w:p>
              </w:tc>
            </w:tr>
          </w:tbl>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从用地性质来看，本月成交的地块均为工业用地</w:t>
            </w:r>
            <w:r>
              <w:rPr>
                <w:rFonts w:hint="eastAsia" w:ascii="宋体" w:hAnsi="宋体" w:eastAsia="宋体" w:cs="宋体"/>
                <w:caps w:val="0"/>
                <w:spacing w:val="0"/>
                <w:kern w:val="0"/>
                <w:sz w:val="14"/>
                <w:szCs w:val="14"/>
                <w:lang w:val="en-US" w:eastAsia="zh-CN" w:bidi="ar"/>
              </w:rPr>
              <w:t>；从区域来看，猇亭区成交6宗、高新区成交3宗、伍家区成交2宗、夷陵区成交2宗。</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3、土地市场成交走势</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7734300" cy="4676775"/>
                  <wp:effectExtent l="0" t="0" r="7620" b="1905"/>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7734300" cy="46767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7724775" cy="4733925"/>
                  <wp:effectExtent l="0" t="0" r="1905" b="5715"/>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6"/>
                          <a:stretch>
                            <a:fillRect/>
                          </a:stretch>
                        </pic:blipFill>
                        <pic:spPr>
                          <a:xfrm>
                            <a:off x="0" y="0"/>
                            <a:ext cx="7724775" cy="4733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近半年宜昌土地交易成交持续低迷，本月虽成交13宗地，总面积超40万方，但成交全为工业用地，因此拉低了本月的成交均价。而从新建住宅销售情况来看，近三个月成交量均在1800套以上，本月更是突破1900套，市场去化趋于稳定，而商住用地供应偏少，市场主力去库存，可以预见后市压力稍减</w:t>
            </w:r>
            <w:r>
              <w:rPr>
                <w:rFonts w:hint="eastAsia" w:ascii="宋体" w:hAnsi="宋体" w:eastAsia="宋体" w:cs="宋体"/>
                <w:caps w:val="0"/>
                <w:spacing w:val="0"/>
                <w:kern w:val="0"/>
                <w:sz w:val="14"/>
                <w:szCs w:val="14"/>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2"/>
              <w:keepNext w:val="0"/>
              <w:keepLines w:val="0"/>
              <w:widowControl/>
              <w:suppressLineNumbers w:val="0"/>
              <w:spacing w:line="24" w:lineRule="atLeast"/>
              <w:jc w:val="center"/>
            </w:pPr>
            <w:r>
              <w:rPr>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rPr>
                <w:rFonts w:hint="eastAsia" w:ascii="宋体" w:hAnsi="宋体" w:eastAsia="宋体" w:cs="宋体"/>
                <w:sz w:val="24"/>
                <w:szCs w:val="24"/>
              </w:rPr>
            </w:pPr>
            <w:r>
              <w:rPr>
                <w:rFonts w:hint="eastAsia" w:ascii="宋体" w:hAnsi="宋体" w:eastAsia="宋体" w:cs="宋体"/>
                <w:b/>
                <w:caps w:val="0"/>
                <w:spacing w:val="0"/>
                <w:sz w:val="24"/>
                <w:szCs w:val="24"/>
              </w:rPr>
              <w:t>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l </w:t>
            </w:r>
            <w:r>
              <w:rPr>
                <w:rFonts w:hint="eastAsia" w:ascii="宋体" w:hAnsi="宋体" w:eastAsia="宋体" w:cs="宋体"/>
                <w:b/>
                <w:caps w:val="0"/>
                <w:spacing w:val="0"/>
                <w:kern w:val="0"/>
                <w:sz w:val="14"/>
                <w:szCs w:val="14"/>
                <w:lang w:val="en-US" w:eastAsia="zh-CN" w:bidi="ar"/>
              </w:rPr>
              <w:t>本月接受认筹的项目有：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宏信·公园里二期认筹1万抵2万；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恒大帝景i+公馆认筹1万抵2万；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繁荣世家3号楼认筹1万抵3万；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宜化·巴黎香颂三期认筹1万抵5万；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恒大山水城VIP团购2千享3万开盘额外优惠。</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l </w:t>
            </w:r>
            <w:r>
              <w:rPr>
                <w:rFonts w:hint="eastAsia" w:ascii="宋体" w:hAnsi="宋体" w:eastAsia="宋体" w:cs="宋体"/>
                <w:b/>
                <w:caps w:val="0"/>
                <w:spacing w:val="0"/>
                <w:kern w:val="0"/>
                <w:sz w:val="14"/>
                <w:szCs w:val="14"/>
                <w:lang w:val="en-US" w:eastAsia="zh-CN" w:bidi="ar"/>
              </w:rPr>
              <w:t>本月开盘的项目有：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山水华庭五期13号楼6月4日加推；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新华广场1、2号楼6月18日开盘；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宜昌碧桂园二期观山悦洋房6月25日开盘；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华鹏·梧桐邑三期40号楼本月加推；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兴润·秋语台8号楼本月加推。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l </w:t>
            </w:r>
            <w:r>
              <w:rPr>
                <w:rFonts w:hint="eastAsia" w:ascii="宋体" w:hAnsi="宋体" w:eastAsia="宋体" w:cs="宋体"/>
                <w:b/>
                <w:caps w:val="0"/>
                <w:spacing w:val="0"/>
                <w:kern w:val="0"/>
                <w:sz w:val="14"/>
                <w:szCs w:val="14"/>
                <w:lang w:val="en-US" w:eastAsia="zh-CN" w:bidi="ar"/>
              </w:rPr>
              <w:t>主城区重点项目及行业相关动态：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6月8日，城中半岛二期样板间开放；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6月9日，中兴国际花园粽子DIY；</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6月9日，恒大帝景宜昌首届国际梦幻灯光秀；</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6月9日，中建·宜昌之星携手专业机构打造的798水上乐园开业；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6月9-11日，恒大帝景“浓情端午·VR欢乐嘉年华”；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6月17日，中建·宜昌之星联合其它单位协办宜昌市第二届荧光夜跑；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6月17日，江南URD“下一代城市”启幕发布会在游轮上举行；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6月18日，城中半岛水上乐园开园；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6月18-19日，恒大•书香府举办“感恩时光，爱在父亲节”主题活动；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6月26日，国宾壹号二期追梦不将就新品发布暨业主答谢会。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4"/>
                <w:szCs w:val="24"/>
                <w:lang w:eastAsia="zh-CN" w:bidi="ar"/>
              </w:rPr>
              <w:t>一、西陵区</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4"/>
                <w:szCs w:val="24"/>
                <w:lang w:eastAsia="zh-CN" w:bidi="ar"/>
              </w:rPr>
              <w:drawing>
                <wp:inline distT="0" distB="0" distL="114300" distR="114300">
                  <wp:extent cx="4762500" cy="4838700"/>
                  <wp:effectExtent l="0" t="0" r="7620" b="7620"/>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7"/>
                          <a:stretch>
                            <a:fillRect/>
                          </a:stretch>
                        </pic:blipFill>
                        <pic:spPr>
                          <a:xfrm>
                            <a:off x="0" y="0"/>
                            <a:ext cx="4762500" cy="4838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8"/>
                <w:szCs w:val="28"/>
                <w:lang w:eastAsia="zh-CN" w:bidi="ar"/>
              </w:rPr>
              <w:t>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4"/>
                <w:szCs w:val="24"/>
                <w:lang w:val="en-US" w:eastAsia="zh-CN" w:bidi="ar"/>
              </w:rPr>
              <w:t>1、区内主要楼盘动态</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762500" cy="5276850"/>
                  <wp:effectExtent l="0" t="0" r="7620" b="11430"/>
                  <wp:docPr id="1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0"/>
                          <pic:cNvPicPr>
                            <a:picLocks noChangeAspect="1"/>
                          </pic:cNvPicPr>
                        </pic:nvPicPr>
                        <pic:blipFill>
                          <a:blip r:embed="rId18"/>
                          <a:stretch>
                            <a:fillRect/>
                          </a:stretch>
                        </pic:blipFill>
                        <pic:spPr>
                          <a:xfrm>
                            <a:off x="0" y="0"/>
                            <a:ext cx="4762500" cy="527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4762500" cy="5581650"/>
                  <wp:effectExtent l="0" t="0" r="7620" b="11430"/>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19"/>
                          <a:stretch>
                            <a:fillRect/>
                          </a:stretch>
                        </pic:blipFill>
                        <pic:spPr>
                          <a:xfrm>
                            <a:off x="0" y="0"/>
                            <a:ext cx="4762500" cy="558165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Style w:val="7"/>
                <w:rFonts w:hint="eastAsia" w:ascii="宋体" w:hAnsi="宋体" w:eastAsia="宋体" w:cs="宋体"/>
                <w:caps w:val="0"/>
                <w:spacing w:val="0"/>
                <w:kern w:val="0"/>
                <w:sz w:val="24"/>
                <w:szCs w:val="24"/>
                <w:lang w:val="en-US" w:eastAsia="zh-CN" w:bidi="ar"/>
              </w:rPr>
              <w:t>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□项目名称：新华广场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w:t>
            </w:r>
            <w:r>
              <w:rPr>
                <w:rFonts w:hint="eastAsia" w:ascii="宋体" w:hAnsi="宋体" w:eastAsia="宋体" w:cs="宋体"/>
                <w:caps w:val="0"/>
                <w:spacing w:val="0"/>
                <w:kern w:val="0"/>
                <w:sz w:val="14"/>
                <w:szCs w:val="14"/>
                <w:lang w:val="en-US" w:eastAsia="zh-CN" w:bidi="ar"/>
              </w:rPr>
              <w:t>地理位置：伍家岗区中南路、城东大道与松林路围合区域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□开 发 商：宜昌新华园置业有限公司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□开发规模：占地面积3.9万方，建筑面积约30万方，住宅户数约733户，停车位1946个，容积率5.30，绿化率20%。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□规划要点：由5栋32-48层超高层住宅、2栋写字楼及酒店、裙楼商业和购物中心组成的城市综合体。</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□主力户型：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2171700" cy="2514600"/>
                  <wp:effectExtent l="0" t="0" r="7620" b="0"/>
                  <wp:docPr id="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IMG_272"/>
                          <pic:cNvPicPr>
                            <a:picLocks noChangeAspect="1"/>
                          </pic:cNvPicPr>
                        </pic:nvPicPr>
                        <pic:blipFill>
                          <a:blip r:embed="rId20"/>
                          <a:stretch>
                            <a:fillRect/>
                          </a:stretch>
                        </pic:blipFill>
                        <pic:spPr>
                          <a:xfrm>
                            <a:off x="0" y="0"/>
                            <a:ext cx="2171700" cy="25146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1609725" cy="2514600"/>
                  <wp:effectExtent l="0" t="0" r="5715" b="0"/>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1"/>
                          <a:stretch>
                            <a:fillRect/>
                          </a:stretch>
                        </pic:blipFill>
                        <pic:spPr>
                          <a:xfrm>
                            <a:off x="0" y="0"/>
                            <a:ext cx="1609725" cy="2514600"/>
                          </a:xfrm>
                          <a:prstGeom prst="rect">
                            <a:avLst/>
                          </a:prstGeom>
                          <a:noFill/>
                          <a:ln w="9525">
                            <a:noFill/>
                          </a:ln>
                        </pic:spPr>
                      </pic:pic>
                    </a:graphicData>
                  </a:graphic>
                </wp:inline>
              </w:drawing>
            </w:r>
            <w:r>
              <w:rPr>
                <w:rFonts w:hint="eastAsia" w:ascii="宋体" w:hAnsi="宋体" w:eastAsia="宋体" w:cs="宋体"/>
                <w:b/>
                <w:caps w:val="0"/>
                <w:spacing w:val="0"/>
                <w:kern w:val="0"/>
                <w:sz w:val="14"/>
                <w:szCs w:val="14"/>
                <w:lang w:val="en-US" w:eastAsia="zh-CN" w:bidi="ar"/>
              </w:rPr>
              <w:drawing>
                <wp:inline distT="0" distB="0" distL="114300" distR="114300">
                  <wp:extent cx="2105025" cy="2514600"/>
                  <wp:effectExtent l="0" t="0" r="13335" b="0"/>
                  <wp:docPr id="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IMG_274"/>
                          <pic:cNvPicPr>
                            <a:picLocks noChangeAspect="1"/>
                          </pic:cNvPicPr>
                        </pic:nvPicPr>
                        <pic:blipFill>
                          <a:blip r:embed="rId22"/>
                          <a:stretch>
                            <a:fillRect/>
                          </a:stretch>
                        </pic:blipFill>
                        <pic:spPr>
                          <a:xfrm>
                            <a:off x="0" y="0"/>
                            <a:ext cx="2105025" cy="2514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                 88㎡/2室2厅1卫               109㎡/3室2厅2卫                 130㎡/3室2厅2卫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□项目动态：</w:t>
            </w:r>
            <w:r>
              <w:rPr>
                <w:rFonts w:hint="eastAsia" w:ascii="宋体" w:hAnsi="宋体" w:eastAsia="宋体" w:cs="宋体"/>
                <w:caps w:val="0"/>
                <w:spacing w:val="0"/>
                <w:kern w:val="0"/>
                <w:sz w:val="14"/>
                <w:szCs w:val="14"/>
                <w:lang w:val="en-US" w:eastAsia="zh-CN" w:bidi="ar"/>
              </w:rPr>
              <w:t>2015年6月，位于东辰壹号峰景的临时外展中心开放；2016.1.1，项目营销中心开放；2016年3月，启动认筹2千抵3万；2016.6.18开盘。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t>□销售情况：</w:t>
            </w:r>
            <w:r>
              <w:rPr>
                <w:rFonts w:hint="eastAsia" w:ascii="宋体" w:hAnsi="宋体" w:eastAsia="宋体" w:cs="宋体"/>
                <w:caps w:val="0"/>
                <w:spacing w:val="0"/>
                <w:kern w:val="0"/>
                <w:sz w:val="14"/>
                <w:szCs w:val="14"/>
                <w:lang w:val="en-US" w:eastAsia="zh-CN" w:bidi="ar"/>
              </w:rPr>
              <w:t>本次开盘推出的是1#、2#楼87-130平米户型，共243套房源备案102套，去化率42%。其中，1#楼32层2梯4户1个单元，88和109平米116套房源备案60套，去化52%，均价5692元/㎡；2#楼34层2梯4户1个单元，87和130平米127套房源备案42套，去化33%，均价5619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项目点评：坐拥城东居住区核心，交通四通八达；挺拔立面，住宅最高48层140米，开创宜昌超高层住宅先例；兴发广场，环球港等商圈林立，加之自身5万方商业，配套醇熟，居住生活便利；项目无缝连通市政公园广场，自然环境优越；城东首所公立初中市三十中尽在咫尺。</w:t>
            </w:r>
          </w:p>
          <w:p>
            <w:pPr>
              <w:keepNext w:val="0"/>
              <w:keepLines w:val="0"/>
              <w:widowControl/>
              <w:suppressLineNumbers w:val="0"/>
              <w:spacing w:before="0" w:beforeAutospacing="1" w:after="0" w:afterAutospacing="1" w:line="216" w:lineRule="atLeast"/>
              <w:ind w:left="0" w:right="0"/>
              <w:jc w:val="left"/>
            </w:pPr>
            <w:r>
              <w:rPr>
                <w:rStyle w:val="7"/>
                <w:rFonts w:hint="eastAsia" w:ascii="宋体" w:hAnsi="宋体" w:eastAsia="宋体" w:cs="宋体"/>
                <w:caps w:val="0"/>
                <w:spacing w:val="0"/>
                <w:kern w:val="0"/>
                <w:sz w:val="24"/>
                <w:szCs w:val="24"/>
                <w:lang w:val="en-US" w:eastAsia="zh-CN" w:bidi="ar"/>
              </w:rPr>
              <w:t>三、高新区（主要包含宜昌开发区、西陵开发区）</w:t>
            </w:r>
          </w:p>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caps w:val="0"/>
                <w:spacing w:val="0"/>
                <w:kern w:val="0"/>
                <w:sz w:val="24"/>
                <w:szCs w:val="24"/>
                <w:lang w:val="en-US" w:eastAsia="zh-CN" w:bidi="ar"/>
              </w:rPr>
              <w:drawing>
                <wp:inline distT="0" distB="0" distL="114300" distR="114300">
                  <wp:extent cx="4762500" cy="5600700"/>
                  <wp:effectExtent l="0" t="0" r="7620" b="7620"/>
                  <wp:docPr id="3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IMG_275"/>
                          <pic:cNvPicPr>
                            <a:picLocks noChangeAspect="1"/>
                          </pic:cNvPicPr>
                        </pic:nvPicPr>
                        <pic:blipFill>
                          <a:blip r:embed="rId23"/>
                          <a:stretch>
                            <a:fillRect/>
                          </a:stretch>
                        </pic:blipFill>
                        <pic:spPr>
                          <a:xfrm>
                            <a:off x="0" y="0"/>
                            <a:ext cx="4762500" cy="56007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Style w:val="7"/>
                <w:rFonts w:hint="eastAsia" w:ascii="宋体" w:hAnsi="宋体" w:eastAsia="宋体" w:cs="宋体"/>
                <w:caps w:val="0"/>
                <w:spacing w:val="0"/>
                <w:kern w:val="0"/>
                <w:sz w:val="24"/>
                <w:szCs w:val="24"/>
                <w:lang w:eastAsia="zh-CN" w:bidi="ar"/>
              </w:rPr>
              <w:t>四、夷陵区</w:t>
            </w:r>
          </w:p>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caps w:val="0"/>
                <w:spacing w:val="0"/>
                <w:kern w:val="0"/>
                <w:sz w:val="28"/>
                <w:szCs w:val="28"/>
                <w:lang w:eastAsia="zh-CN" w:bidi="ar"/>
              </w:rPr>
              <w:drawing>
                <wp:inline distT="0" distB="0" distL="114300" distR="114300">
                  <wp:extent cx="4686300" cy="5572125"/>
                  <wp:effectExtent l="0" t="0" r="7620" b="5715"/>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24"/>
                          <a:stretch>
                            <a:fillRect/>
                          </a:stretch>
                        </pic:blipFill>
                        <pic:spPr>
                          <a:xfrm>
                            <a:off x="0" y="0"/>
                            <a:ext cx="4686300" cy="557212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b/>
                <w:caps w:val="0"/>
                <w:spacing w:val="0"/>
                <w:kern w:val="0"/>
                <w:sz w:val="24"/>
                <w:szCs w:val="24"/>
                <w:lang w:val="en-US" w:eastAsia="zh-CN" w:bidi="ar"/>
              </w:rPr>
              <w:t>五、点军区</w:t>
            </w:r>
          </w:p>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b/>
                <w:caps w:val="0"/>
                <w:spacing w:val="0"/>
                <w:kern w:val="0"/>
                <w:sz w:val="24"/>
                <w:szCs w:val="24"/>
                <w:lang w:val="en-US" w:eastAsia="zh-CN" w:bidi="ar"/>
              </w:rPr>
              <w:drawing>
                <wp:inline distT="0" distB="0" distL="114300" distR="114300">
                  <wp:extent cx="4762500" cy="3133725"/>
                  <wp:effectExtent l="0" t="0" r="7620" b="5715"/>
                  <wp:docPr id="3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IMG_277"/>
                          <pic:cNvPicPr>
                            <a:picLocks noChangeAspect="1"/>
                          </pic:cNvPicPr>
                        </pic:nvPicPr>
                        <pic:blipFill>
                          <a:blip r:embed="rId25"/>
                          <a:stretch>
                            <a:fillRect/>
                          </a:stretch>
                        </pic:blipFill>
                        <pic:spPr>
                          <a:xfrm>
                            <a:off x="0" y="0"/>
                            <a:ext cx="4762500" cy="313372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b/>
                <w:caps w:val="0"/>
                <w:spacing w:val="0"/>
                <w:kern w:val="0"/>
                <w:sz w:val="28"/>
                <w:szCs w:val="28"/>
                <w:lang w:eastAsia="zh-CN" w:bidi="ar"/>
              </w:rPr>
              <w:t>六、猇亭区</w:t>
            </w: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before="0" w:beforeAutospacing="1" w:after="0" w:afterAutospacing="1" w:line="216" w:lineRule="atLeast"/>
              <w:ind w:left="0" w:right="0"/>
              <w:jc w:val="cente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4762500" cy="1409700"/>
                  <wp:effectExtent l="0" t="0" r="7620" b="7620"/>
                  <wp:docPr id="3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78"/>
                          <pic:cNvPicPr>
                            <a:picLocks noChangeAspect="1"/>
                          </pic:cNvPicPr>
                        </pic:nvPicPr>
                        <pic:blipFill>
                          <a:blip r:embed="rId26"/>
                          <a:stretch>
                            <a:fillRect/>
                          </a:stretch>
                        </pic:blipFill>
                        <pic:spPr>
                          <a:xfrm>
                            <a:off x="0" y="0"/>
                            <a:ext cx="4762500" cy="140970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p>
          <w:p>
            <w:pPr>
              <w:pStyle w:val="2"/>
              <w:keepNext w:val="0"/>
              <w:keepLines w:val="0"/>
              <w:widowControl/>
              <w:suppressLineNumbers w:val="0"/>
              <w:spacing w:line="24" w:lineRule="atLeast"/>
              <w:jc w:val="center"/>
            </w:pPr>
            <w:r>
              <w:rPr>
                <w:caps w:val="0"/>
                <w:spacing w:val="0"/>
                <w:sz w:val="27"/>
                <w:szCs w:val="27"/>
              </w:rPr>
              <w:t>第四部分   媒体监测</w:t>
            </w:r>
          </w:p>
          <w:p>
            <w:pPr>
              <w:pStyle w:val="3"/>
              <w:keepNext w:val="0"/>
              <w:keepLines w:val="0"/>
              <w:widowControl/>
              <w:suppressLineNumbers w:val="0"/>
              <w:spacing w:line="24" w:lineRule="atLeast"/>
              <w:jc w:val="center"/>
            </w:pPr>
            <w:bookmarkStart w:id="24" w:name="_Toc398024665"/>
            <w:bookmarkEnd w:id="24"/>
            <w:bookmarkStart w:id="25" w:name="_Toc380050048"/>
            <w:bookmarkEnd w:id="25"/>
            <w:bookmarkStart w:id="26" w:name="_Toc353178142"/>
            <w:bookmarkEnd w:id="26"/>
            <w:bookmarkStart w:id="27" w:name="_Toc347757555"/>
            <w:bookmarkEnd w:id="27"/>
            <w:bookmarkStart w:id="28" w:name="_Toc345167239"/>
            <w:r>
              <w:rPr>
                <w:caps w:val="0"/>
                <w:spacing w:val="0"/>
                <w:sz w:val="27"/>
                <w:szCs w:val="27"/>
              </w:rPr>
              <w:t>一、纸媒投放情况</w:t>
            </w:r>
            <w:bookmarkEnd w:id="28"/>
            <w:r>
              <w:rPr>
                <w:caps w:val="0"/>
                <w:spacing w:val="0"/>
                <w:sz w:val="27"/>
                <w:szCs w:val="27"/>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本月截止到30日，宜昌共有10个地产项目投放报纸广告，与上月持平；投放数量共计25篇，比上个月减少13篇，环比下跌34%。本月广告投放量较大的主要有:</w:t>
            </w:r>
            <w:r>
              <w:rPr>
                <w:rFonts w:hint="eastAsia" w:ascii="宋体" w:hAnsi="宋体" w:eastAsia="宋体" w:cs="宋体"/>
                <w:b/>
                <w:caps w:val="0"/>
                <w:spacing w:val="0"/>
                <w:kern w:val="0"/>
                <w:sz w:val="14"/>
                <w:szCs w:val="14"/>
                <w:lang w:val="en-US" w:eastAsia="zh-CN" w:bidi="ar"/>
              </w:rPr>
              <w:t>新华广场、国宾壹号、恒大帝景、</w:t>
            </w:r>
            <w:r>
              <w:rPr>
                <w:rFonts w:hint="eastAsia" w:ascii="宋体" w:hAnsi="宋体" w:eastAsia="宋体" w:cs="宋体"/>
                <w:caps w:val="0"/>
                <w:spacing w:val="0"/>
                <w:kern w:val="0"/>
                <w:sz w:val="14"/>
                <w:szCs w:val="14"/>
                <w:lang w:val="en-US" w:eastAsia="zh-CN" w:bidi="ar"/>
              </w:rPr>
              <w:t>以及</w:t>
            </w:r>
            <w:r>
              <w:rPr>
                <w:rFonts w:hint="eastAsia" w:ascii="宋体" w:hAnsi="宋体" w:eastAsia="宋体" w:cs="宋体"/>
                <w:b/>
                <w:caps w:val="0"/>
                <w:spacing w:val="0"/>
                <w:kern w:val="0"/>
                <w:sz w:val="14"/>
                <w:szCs w:val="14"/>
                <w:lang w:val="en-US" w:eastAsia="zh-CN" w:bidi="ar"/>
              </w:rPr>
              <w:t>恒大绿洲</w:t>
            </w:r>
            <w:r>
              <w:rPr>
                <w:rFonts w:hint="eastAsia" w:ascii="宋体" w:hAnsi="宋体" w:eastAsia="宋体" w:cs="宋体"/>
                <w:caps w:val="0"/>
                <w:spacing w:val="0"/>
                <w:kern w:val="0"/>
                <w:sz w:val="14"/>
                <w:szCs w:val="1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jc w:val="center"/>
            </w:pPr>
            <w:bookmarkStart w:id="29" w:name="_Toc398024666"/>
            <w:bookmarkEnd w:id="29"/>
            <w:bookmarkStart w:id="30" w:name="_Toc380050049"/>
            <w:bookmarkEnd w:id="30"/>
            <w:bookmarkStart w:id="31" w:name="_Toc353178143"/>
            <w:bookmarkEnd w:id="31"/>
            <w:bookmarkStart w:id="32" w:name="_Toc347757556"/>
            <w:bookmarkEnd w:id="32"/>
            <w:bookmarkStart w:id="33" w:name="_Toc345167240"/>
            <w:r>
              <w:rPr>
                <w:caps w:val="0"/>
                <w:spacing w:val="0"/>
                <w:sz w:val="27"/>
                <w:szCs w:val="27"/>
              </w:rPr>
              <w:t>二、纸媒投放数据监测</w:t>
            </w:r>
            <w:bookmarkEnd w:id="3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1、报广投放时间段分析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本月投放量统计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4819650" cy="3314700"/>
                  <wp:effectExtent l="0" t="0" r="11430" b="7620"/>
                  <wp:docPr id="3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IMG_279"/>
                          <pic:cNvPicPr>
                            <a:picLocks noChangeAspect="1"/>
                          </pic:cNvPicPr>
                        </pic:nvPicPr>
                        <pic:blipFill>
                          <a:blip r:embed="rId27"/>
                          <a:stretch>
                            <a:fillRect/>
                          </a:stretch>
                        </pic:blipFill>
                        <pic:spPr>
                          <a:xfrm>
                            <a:off x="0" y="0"/>
                            <a:ext cx="4819650" cy="3314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14"/>
                <w:szCs w:val="14"/>
                <w:lang w:val="en-US" w:eastAsia="zh-CN" w:bidi="ar"/>
              </w:rPr>
              <w:drawing>
                <wp:inline distT="0" distB="0" distL="114300" distR="114300">
                  <wp:extent cx="4667250" cy="3324225"/>
                  <wp:effectExtent l="0" t="0" r="11430" b="13335"/>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28"/>
                          <a:stretch>
                            <a:fillRect/>
                          </a:stretch>
                        </pic:blipFill>
                        <pic:spPr>
                          <a:xfrm>
                            <a:off x="0" y="0"/>
                            <a:ext cx="4667250" cy="33242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月报广投放量从时间上来看，主要集中在13日、14日、17日、20日和24日，其中17日投放量为本月最高，投放5篇。从每周时间来看，并非和往常一样都集中在周五，而是投在本月最受关注的两个项目活动前夕，即：</w:t>
            </w:r>
            <w:r>
              <w:rPr>
                <w:rFonts w:hint="eastAsia" w:ascii="宋体" w:hAnsi="宋体" w:eastAsia="宋体" w:cs="宋体"/>
                <w:b/>
                <w:caps w:val="0"/>
                <w:spacing w:val="0"/>
                <w:kern w:val="0"/>
                <w:sz w:val="14"/>
                <w:szCs w:val="14"/>
                <w:lang w:val="en-US" w:eastAsia="zh-CN" w:bidi="ar"/>
              </w:rPr>
              <w:t>新华广场6.18开盘； 国宾壹号二期追梦不将就6.26新品发布暨业主答谢会。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2、投放媒体及版面分析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4"/>
              <w:keepNext w:val="0"/>
              <w:keepLines w:val="0"/>
              <w:widowControl/>
              <w:suppressLineNumbers w:val="0"/>
              <w:spacing w:line="24" w:lineRule="atLeast"/>
              <w:jc w:val="center"/>
            </w:pPr>
            <w:r>
              <w:rPr>
                <w:rFonts w:hint="eastAsia" w:ascii="宋体" w:hAnsi="宋体" w:eastAsia="宋体" w:cs="宋体"/>
                <w:b/>
                <w:caps w:val="0"/>
                <w:spacing w:val="0"/>
                <w:sz w:val="14"/>
                <w:szCs w:val="14"/>
              </w:rPr>
              <w:drawing>
                <wp:inline distT="0" distB="0" distL="114300" distR="114300">
                  <wp:extent cx="4600575" cy="3171825"/>
                  <wp:effectExtent l="0" t="0" r="1905" b="13335"/>
                  <wp:docPr id="2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IMG_281"/>
                          <pic:cNvPicPr>
                            <a:picLocks noChangeAspect="1"/>
                          </pic:cNvPicPr>
                        </pic:nvPicPr>
                        <pic:blipFill>
                          <a:blip r:embed="rId29"/>
                          <a:stretch>
                            <a:fillRect/>
                          </a:stretch>
                        </pic:blipFill>
                        <pic:spPr>
                          <a:xfrm>
                            <a:off x="0" y="0"/>
                            <a:ext cx="4600575" cy="3171825"/>
                          </a:xfrm>
                          <a:prstGeom prst="rect">
                            <a:avLst/>
                          </a:prstGeom>
                          <a:noFill/>
                          <a:ln w="9525">
                            <a:noFill/>
                          </a:ln>
                        </pic:spPr>
                      </pic:pic>
                    </a:graphicData>
                  </a:graphic>
                </wp:inline>
              </w:drawing>
            </w:r>
          </w:p>
          <w:p>
            <w:pPr>
              <w:pStyle w:val="4"/>
              <w:keepNext w:val="0"/>
              <w:keepLines w:val="0"/>
              <w:widowControl/>
              <w:suppressLineNumbers w:val="0"/>
              <w:spacing w:line="24" w:lineRule="atLeast"/>
              <w:jc w:val="center"/>
            </w:pPr>
            <w:r>
              <w:rPr>
                <w:rFonts w:hint="eastAsia" w:ascii="宋体" w:hAnsi="宋体" w:eastAsia="宋体" w:cs="宋体"/>
                <w:b/>
                <w:caps w:val="0"/>
                <w:spacing w:val="0"/>
                <w:sz w:val="14"/>
                <w:szCs w:val="14"/>
              </w:rPr>
              <w:drawing>
                <wp:inline distT="0" distB="0" distL="114300" distR="114300">
                  <wp:extent cx="4629150" cy="3181350"/>
                  <wp:effectExtent l="0" t="0" r="3810" b="3810"/>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30"/>
                          <a:stretch>
                            <a:fillRect/>
                          </a:stretch>
                        </pic:blipFill>
                        <pic:spPr>
                          <a:xfrm>
                            <a:off x="0" y="0"/>
                            <a:ext cx="4629150" cy="3181350"/>
                          </a:xfrm>
                          <a:prstGeom prst="rect">
                            <a:avLst/>
                          </a:prstGeom>
                          <a:noFill/>
                          <a:ln w="9525">
                            <a:noFill/>
                          </a:ln>
                        </pic:spPr>
                      </pic:pic>
                    </a:graphicData>
                  </a:graphic>
                </wp:inline>
              </w:drawing>
            </w:r>
          </w:p>
          <w:p>
            <w:pPr>
              <w:pStyle w:val="4"/>
              <w:keepNext w:val="0"/>
              <w:keepLines w:val="0"/>
              <w:widowControl/>
              <w:suppressLineNumbers w:val="0"/>
              <w:spacing w:line="24" w:lineRule="atLeast"/>
              <w:jc w:val="center"/>
            </w:pPr>
            <w:r>
              <w:rPr>
                <w:rFonts w:hint="eastAsia" w:ascii="宋体" w:hAnsi="宋体" w:eastAsia="宋体" w:cs="宋体"/>
                <w:b/>
                <w:caps w:val="0"/>
                <w:spacing w:val="0"/>
                <w:sz w:val="14"/>
                <w:szCs w:val="14"/>
              </w:rPr>
              <w:t> </w:t>
            </w:r>
          </w:p>
          <w:p>
            <w:pPr>
              <w:pStyle w:val="4"/>
              <w:keepNext w:val="0"/>
              <w:keepLines w:val="0"/>
              <w:widowControl/>
              <w:suppressLineNumbers w:val="0"/>
              <w:spacing w:line="24" w:lineRule="atLeast"/>
              <w:jc w:val="left"/>
            </w:pPr>
            <w:r>
              <w:rPr>
                <w:rFonts w:hint="eastAsia" w:ascii="宋体" w:hAnsi="宋体" w:eastAsia="宋体" w:cs="宋体"/>
                <w:b/>
                <w:caps w:val="0"/>
                <w:spacing w:val="0"/>
                <w:sz w:val="14"/>
                <w:szCs w:val="14"/>
              </w:rPr>
              <w:t>本月媒体投放情况：</w:t>
            </w:r>
            <w:r>
              <w:rPr>
                <w:rFonts w:hint="eastAsia" w:ascii="宋体" w:hAnsi="宋体" w:eastAsia="宋体" w:cs="宋体"/>
                <w:caps w:val="0"/>
                <w:spacing w:val="0"/>
                <w:sz w:val="14"/>
                <w:szCs w:val="14"/>
              </w:rPr>
              <w:t>三峡商报投放6篇，占比24%；三峡晚报投放14篇，占比56%；三峡日报投放5篇，占比20%。</w:t>
            </w:r>
            <w:r>
              <w:rPr>
                <w:rFonts w:hint="eastAsia" w:ascii="宋体" w:hAnsi="宋体" w:eastAsia="宋体" w:cs="宋体"/>
                <w:b/>
                <w:caps w:val="0"/>
                <w:spacing w:val="0"/>
                <w:sz w:val="14"/>
                <w:szCs w:val="14"/>
              </w:rPr>
              <w:t>版面投放情况：</w:t>
            </w:r>
            <w:r>
              <w:rPr>
                <w:rFonts w:hint="eastAsia" w:ascii="宋体" w:hAnsi="宋体" w:eastAsia="宋体" w:cs="宋体"/>
                <w:caps w:val="0"/>
                <w:spacing w:val="0"/>
                <w:sz w:val="14"/>
                <w:szCs w:val="14"/>
              </w:rPr>
              <w:t>整版10篇，占比40%，主要为</w:t>
            </w:r>
            <w:r>
              <w:rPr>
                <w:rFonts w:hint="eastAsia" w:ascii="宋体" w:hAnsi="宋体" w:eastAsia="宋体" w:cs="宋体"/>
                <w:b/>
                <w:caps w:val="0"/>
                <w:spacing w:val="0"/>
                <w:sz w:val="14"/>
                <w:szCs w:val="14"/>
              </w:rPr>
              <w:t>国宾壹号、恒大帝景</w:t>
            </w:r>
            <w:r>
              <w:rPr>
                <w:rFonts w:hint="eastAsia" w:ascii="宋体" w:hAnsi="宋体" w:eastAsia="宋体" w:cs="宋体"/>
                <w:caps w:val="0"/>
                <w:spacing w:val="0"/>
                <w:sz w:val="14"/>
                <w:szCs w:val="14"/>
              </w:rPr>
              <w:t>和</w:t>
            </w:r>
            <w:r>
              <w:rPr>
                <w:rFonts w:hint="eastAsia" w:ascii="宋体" w:hAnsi="宋体" w:eastAsia="宋体" w:cs="宋体"/>
                <w:b/>
                <w:caps w:val="0"/>
                <w:spacing w:val="0"/>
                <w:sz w:val="14"/>
                <w:szCs w:val="14"/>
              </w:rPr>
              <w:t>恒大绿洲</w:t>
            </w:r>
            <w:r>
              <w:rPr>
                <w:rFonts w:hint="eastAsia" w:ascii="宋体" w:hAnsi="宋体" w:eastAsia="宋体" w:cs="宋体"/>
                <w:caps w:val="0"/>
                <w:spacing w:val="0"/>
                <w:sz w:val="14"/>
                <w:szCs w:val="14"/>
              </w:rPr>
              <w:t>等楼盘投放；半版12篇，占比48%，主要为新华广场和恒大山水城等楼盘投放；报眼及横幅3篇，占比12%，主要为东辰壹号·御景和弘洋·拉菲小镇等楼盘投放。</w:t>
            </w:r>
          </w:p>
          <w:p>
            <w:pPr>
              <w:keepNext w:val="0"/>
              <w:keepLines w:val="0"/>
              <w:widowControl/>
              <w:suppressLineNumbers w:val="0"/>
              <w:spacing w:before="0" w:beforeAutospacing="1" w:after="0" w:afterAutospacing="1" w:line="216" w:lineRule="atLeast"/>
              <w:ind w:left="0" w:right="0"/>
              <w:jc w:val="left"/>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3、项目投放量分析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953125" cy="4010025"/>
                  <wp:effectExtent l="0" t="0" r="5715" b="13335"/>
                  <wp:docPr id="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83"/>
                          <pic:cNvPicPr>
                            <a:picLocks noChangeAspect="1"/>
                          </pic:cNvPicPr>
                        </pic:nvPicPr>
                        <pic:blipFill>
                          <a:blip r:embed="rId31"/>
                          <a:stretch>
                            <a:fillRect/>
                          </a:stretch>
                        </pic:blipFill>
                        <pic:spPr>
                          <a:xfrm>
                            <a:off x="0" y="0"/>
                            <a:ext cx="5953125" cy="40100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纸媒投放TOP 1、2、3：</w:t>
            </w:r>
            <w:r>
              <w:rPr>
                <w:rFonts w:hint="eastAsia" w:ascii="宋体" w:hAnsi="宋体" w:eastAsia="宋体" w:cs="宋体"/>
                <w:caps w:val="0"/>
                <w:spacing w:val="0"/>
                <w:kern w:val="0"/>
                <w:sz w:val="14"/>
                <w:szCs w:val="14"/>
                <w:lang w:val="en-US" w:eastAsia="zh-CN" w:bidi="ar"/>
              </w:rPr>
              <w:t>新华广场、国宾壹号、恒大·书香府</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3914775" cy="2352675"/>
                  <wp:effectExtent l="0" t="0" r="1905" b="9525"/>
                  <wp:docPr id="2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descr="IMG_284"/>
                          <pic:cNvPicPr>
                            <a:picLocks noChangeAspect="1"/>
                          </pic:cNvPicPr>
                        </pic:nvPicPr>
                        <pic:blipFill>
                          <a:blip r:embed="rId32"/>
                          <a:stretch>
                            <a:fillRect/>
                          </a:stretch>
                        </pic:blipFill>
                        <pic:spPr>
                          <a:xfrm>
                            <a:off x="0" y="0"/>
                            <a:ext cx="3914775" cy="23526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3952875" cy="2819400"/>
                  <wp:effectExtent l="0" t="0" r="9525" b="0"/>
                  <wp:docPr id="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85"/>
                          <pic:cNvPicPr>
                            <a:picLocks noChangeAspect="1"/>
                          </pic:cNvPicPr>
                        </pic:nvPicPr>
                        <pic:blipFill>
                          <a:blip r:embed="rId33"/>
                          <a:stretch>
                            <a:fillRect/>
                          </a:stretch>
                        </pic:blipFill>
                        <pic:spPr>
                          <a:xfrm>
                            <a:off x="0" y="0"/>
                            <a:ext cx="3952875" cy="2819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本月</w:t>
            </w:r>
            <w:r>
              <w:rPr>
                <w:rFonts w:hint="eastAsia" w:ascii="宋体" w:hAnsi="宋体" w:eastAsia="宋体" w:cs="宋体"/>
                <w:b/>
                <w:caps w:val="0"/>
                <w:spacing w:val="0"/>
                <w:kern w:val="0"/>
                <w:sz w:val="14"/>
                <w:szCs w:val="14"/>
                <w:lang w:val="en-US" w:eastAsia="zh-CN" w:bidi="ar"/>
              </w:rPr>
              <w:t>新华广场投放报广9篇，</w:t>
            </w:r>
            <w:r>
              <w:rPr>
                <w:rFonts w:hint="eastAsia" w:ascii="宋体" w:hAnsi="宋体" w:eastAsia="宋体" w:cs="宋体"/>
                <w:caps w:val="0"/>
                <w:spacing w:val="0"/>
                <w:kern w:val="0"/>
                <w:sz w:val="14"/>
                <w:szCs w:val="14"/>
                <w:lang w:val="en-US" w:eastAsia="zh-CN" w:bidi="ar"/>
              </w:rPr>
              <w:t>占总投放量的36%，主要宣传6.18开盘的信息；</w:t>
            </w:r>
            <w:r>
              <w:rPr>
                <w:rFonts w:hint="eastAsia" w:ascii="宋体" w:hAnsi="宋体" w:eastAsia="宋体" w:cs="宋体"/>
                <w:b/>
                <w:caps w:val="0"/>
                <w:spacing w:val="0"/>
                <w:kern w:val="0"/>
                <w:sz w:val="14"/>
                <w:szCs w:val="14"/>
                <w:lang w:val="en-US" w:eastAsia="zh-CN" w:bidi="ar"/>
              </w:rPr>
              <w:t>国宾壹号投放报广3篇，</w:t>
            </w:r>
            <w:r>
              <w:rPr>
                <w:rFonts w:hint="eastAsia" w:ascii="宋体" w:hAnsi="宋体" w:eastAsia="宋体" w:cs="宋体"/>
                <w:caps w:val="0"/>
                <w:spacing w:val="0"/>
                <w:kern w:val="0"/>
                <w:sz w:val="14"/>
                <w:szCs w:val="14"/>
                <w:lang w:val="en-US" w:eastAsia="zh-CN" w:bidi="ar"/>
              </w:rPr>
              <w:t>占总投放量的12%，主要刊登追梦不将就6.26新品发布暨业主答谢会；</w:t>
            </w:r>
            <w:r>
              <w:rPr>
                <w:rFonts w:hint="eastAsia" w:ascii="宋体" w:hAnsi="宋体" w:eastAsia="宋体" w:cs="宋体"/>
                <w:b/>
                <w:caps w:val="0"/>
                <w:spacing w:val="0"/>
                <w:kern w:val="0"/>
                <w:sz w:val="14"/>
                <w:szCs w:val="14"/>
                <w:lang w:val="en-US" w:eastAsia="zh-CN" w:bidi="ar"/>
              </w:rPr>
              <w:t>恒大·书香府投放报广3篇，</w:t>
            </w:r>
            <w:r>
              <w:rPr>
                <w:rFonts w:hint="eastAsia" w:ascii="宋体" w:hAnsi="宋体" w:eastAsia="宋体" w:cs="宋体"/>
                <w:caps w:val="0"/>
                <w:spacing w:val="0"/>
                <w:kern w:val="0"/>
                <w:sz w:val="14"/>
                <w:szCs w:val="14"/>
                <w:lang w:val="en-US" w:eastAsia="zh-CN" w:bidi="ar"/>
              </w:rPr>
              <w:t>占比12%，主要刊登年中冲刺8折大优惠的信息。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版面欣赏</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3981450" cy="5514975"/>
                  <wp:effectExtent l="0" t="0" r="11430" b="1905"/>
                  <wp:docPr id="2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IMG_286"/>
                          <pic:cNvPicPr>
                            <a:picLocks noChangeAspect="1"/>
                          </pic:cNvPicPr>
                        </pic:nvPicPr>
                        <pic:blipFill>
                          <a:blip r:embed="rId34"/>
                          <a:stretch>
                            <a:fillRect/>
                          </a:stretch>
                        </pic:blipFill>
                        <pic:spPr>
                          <a:xfrm>
                            <a:off x="0" y="0"/>
                            <a:ext cx="3981450" cy="5514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3305175" cy="4276725"/>
                  <wp:effectExtent l="0" t="0" r="1905" b="5715"/>
                  <wp:docPr id="3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IMG_287"/>
                          <pic:cNvPicPr>
                            <a:picLocks noChangeAspect="1"/>
                          </pic:cNvPicPr>
                        </pic:nvPicPr>
                        <pic:blipFill>
                          <a:blip r:embed="rId35"/>
                          <a:stretch>
                            <a:fillRect/>
                          </a:stretch>
                        </pic:blipFill>
                        <pic:spPr>
                          <a:xfrm>
                            <a:off x="0" y="0"/>
                            <a:ext cx="3305175" cy="42767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3"/>
              <w:keepNext w:val="0"/>
              <w:keepLines w:val="0"/>
              <w:widowControl/>
              <w:suppressLineNumbers w:val="0"/>
              <w:spacing w:line="24" w:lineRule="atLeast"/>
              <w:jc w:val="center"/>
            </w:pPr>
            <w:r>
              <w:rPr>
                <w:caps w:val="0"/>
                <w:spacing w:val="0"/>
                <w:sz w:val="27"/>
                <w:szCs w:val="27"/>
              </w:rPr>
              <w:t>三、网络媒体监测</w:t>
            </w:r>
          </w:p>
          <w:p>
            <w:pPr>
              <w:pStyle w:val="4"/>
              <w:keepNext w:val="0"/>
              <w:keepLines w:val="0"/>
              <w:widowControl/>
              <w:suppressLineNumbers w:val="0"/>
              <w:spacing w:line="24" w:lineRule="atLeast"/>
              <w:jc w:val="center"/>
            </w:pPr>
            <w:r>
              <w:rPr>
                <w:rFonts w:hint="eastAsia" w:ascii="宋体" w:hAnsi="宋体" w:eastAsia="宋体" w:cs="宋体"/>
                <w:caps w:val="0"/>
                <w:spacing w:val="0"/>
                <w:sz w:val="14"/>
                <w:szCs w:val="14"/>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34" w:name="_Toc380050051"/>
            <w:r>
              <w:rPr>
                <w:rFonts w:hint="eastAsia" w:ascii="宋体" w:hAnsi="宋体" w:eastAsia="宋体" w:cs="宋体"/>
                <w:b/>
                <w:caps w:val="0"/>
                <w:spacing w:val="0"/>
                <w:kern w:val="0"/>
                <w:sz w:val="14"/>
                <w:szCs w:val="14"/>
                <w:lang w:val="en-US" w:eastAsia="zh-CN" w:bidi="ar"/>
              </w:rPr>
              <w:t>1</w:t>
            </w:r>
            <w:bookmarkEnd w:id="34"/>
            <w:r>
              <w:rPr>
                <w:rFonts w:hint="eastAsia" w:ascii="宋体" w:hAnsi="宋体" w:eastAsia="宋体" w:cs="宋体"/>
                <w:b/>
                <w:caps w:val="0"/>
                <w:spacing w:val="0"/>
                <w:kern w:val="0"/>
                <w:sz w:val="14"/>
                <w:szCs w:val="14"/>
                <w:lang w:val="en-US" w:eastAsia="zh-CN" w:bidi="ar"/>
              </w:rPr>
              <w:t>、搜房网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35" w:name="_Toc380050052"/>
            <w:r>
              <w:rPr>
                <w:rFonts w:hint="eastAsia" w:ascii="宋体" w:hAnsi="宋体" w:eastAsia="宋体" w:cs="宋体"/>
                <w:caps w:val="0"/>
                <w:spacing w:val="0"/>
                <w:kern w:val="0"/>
                <w:sz w:val="14"/>
                <w:szCs w:val="14"/>
                <w:lang w:val="en-US" w:eastAsia="zh-CN" w:bidi="ar"/>
              </w:rPr>
              <w:t>本月在搜房网投放广告的主要有</w:t>
            </w:r>
            <w:r>
              <w:rPr>
                <w:rFonts w:hint="eastAsia" w:ascii="宋体" w:hAnsi="宋体" w:eastAsia="宋体" w:cs="宋体"/>
                <w:b/>
                <w:caps w:val="0"/>
                <w:spacing w:val="0"/>
                <w:kern w:val="0"/>
                <w:sz w:val="14"/>
                <w:szCs w:val="14"/>
                <w:lang w:val="en-US" w:eastAsia="zh-CN" w:bidi="ar"/>
              </w:rPr>
              <w:t>恒大·山水城、兴润·秋语台、宜化·巴黎香颂、宏信·公园里、东辰雅园、中兴广场</w:t>
            </w:r>
            <w:r>
              <w:rPr>
                <w:rFonts w:hint="eastAsia" w:ascii="宋体" w:hAnsi="宋体" w:eastAsia="宋体" w:cs="宋体"/>
                <w:caps w:val="0"/>
                <w:spacing w:val="0"/>
                <w:kern w:val="0"/>
                <w:sz w:val="14"/>
                <w:szCs w:val="14"/>
                <w:lang w:val="en-US" w:eastAsia="zh-CN" w:bidi="ar"/>
              </w:rPr>
              <w:t>等楼盘。</w:t>
            </w:r>
            <w:bookmarkEnd w:id="35"/>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6048375" cy="6657975"/>
                  <wp:effectExtent l="0" t="0" r="1905" b="1905"/>
                  <wp:docPr id="2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IMG_288"/>
                          <pic:cNvPicPr>
                            <a:picLocks noChangeAspect="1"/>
                          </pic:cNvPicPr>
                        </pic:nvPicPr>
                        <pic:blipFill>
                          <a:blip r:embed="rId36"/>
                          <a:stretch>
                            <a:fillRect/>
                          </a:stretch>
                        </pic:blipFill>
                        <pic:spPr>
                          <a:xfrm>
                            <a:off x="0" y="0"/>
                            <a:ext cx="6048375" cy="6657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36" w:name="_Toc380050055"/>
            <w:bookmarkEnd w:id="36"/>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37" w:name="_Toc380050056"/>
            <w:r>
              <w:rPr>
                <w:rFonts w:hint="eastAsia" w:ascii="宋体" w:hAnsi="宋体" w:eastAsia="宋体" w:cs="宋体"/>
                <w:caps w:val="0"/>
                <w:spacing w:val="0"/>
                <w:kern w:val="0"/>
                <w:sz w:val="14"/>
                <w:szCs w:val="14"/>
                <w:lang w:val="en-US" w:eastAsia="zh-CN" w:bidi="ar"/>
              </w:rPr>
              <w:t>本月在大楚网投放广告的主要有</w:t>
            </w:r>
            <w:bookmarkEnd w:id="37"/>
            <w:r>
              <w:rPr>
                <w:rFonts w:hint="eastAsia" w:ascii="宋体" w:hAnsi="宋体" w:eastAsia="宋体" w:cs="宋体"/>
                <w:b/>
                <w:caps w:val="0"/>
                <w:spacing w:val="0"/>
                <w:kern w:val="0"/>
                <w:sz w:val="14"/>
                <w:szCs w:val="14"/>
                <w:lang w:val="en-US" w:eastAsia="zh-CN" w:bidi="ar"/>
              </w:rPr>
              <w:t>宜化·巴黎香颂、恒大·山水城、新华广场、恒信·中央公园、城中金谷、宜化·新天地、江南URD、星湖湾4期、城中半岛2期</w:t>
            </w:r>
            <w:r>
              <w:rPr>
                <w:rFonts w:hint="eastAsia" w:ascii="宋体" w:hAnsi="宋体" w:eastAsia="宋体" w:cs="宋体"/>
                <w:caps w:val="0"/>
                <w:spacing w:val="0"/>
                <w:kern w:val="0"/>
                <w:sz w:val="14"/>
                <w:szCs w:val="1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953125" cy="3819525"/>
                  <wp:effectExtent l="0" t="0" r="5715" b="5715"/>
                  <wp:docPr id="2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IMG_289"/>
                          <pic:cNvPicPr>
                            <a:picLocks noChangeAspect="1"/>
                          </pic:cNvPicPr>
                        </pic:nvPicPr>
                        <pic:blipFill>
                          <a:blip r:embed="rId37"/>
                          <a:stretch>
                            <a:fillRect/>
                          </a:stretch>
                        </pic:blipFill>
                        <pic:spPr>
                          <a:xfrm>
                            <a:off x="0" y="0"/>
                            <a:ext cx="5953125" cy="3819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3、新浪网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本月在新浪网投放广告的主要有</w:t>
            </w:r>
            <w:r>
              <w:rPr>
                <w:rFonts w:hint="eastAsia" w:ascii="宋体" w:hAnsi="宋体" w:eastAsia="宋体" w:cs="宋体"/>
                <w:b/>
                <w:caps w:val="0"/>
                <w:spacing w:val="0"/>
                <w:kern w:val="0"/>
                <w:sz w:val="14"/>
                <w:szCs w:val="14"/>
                <w:lang w:val="en-US" w:eastAsia="zh-CN" w:bidi="ar"/>
              </w:rPr>
              <w:t>宜化·巴黎香颂、宜化·新天地、梧桐邑3期</w:t>
            </w:r>
            <w:r>
              <w:rPr>
                <w:rFonts w:hint="eastAsia" w:ascii="宋体" w:hAnsi="宋体" w:eastAsia="宋体" w:cs="宋体"/>
                <w:caps w:val="0"/>
                <w:spacing w:val="0"/>
                <w:kern w:val="0"/>
                <w:sz w:val="14"/>
                <w:szCs w:val="14"/>
                <w:lang w:val="en-US" w:eastAsia="zh-CN" w:bidi="ar"/>
              </w:rPr>
              <w:t>等楼盘。</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drawing>
                <wp:inline distT="0" distB="0" distL="114300" distR="114300">
                  <wp:extent cx="5905500" cy="1323975"/>
                  <wp:effectExtent l="0" t="0" r="7620" b="1905"/>
                  <wp:docPr id="29"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descr="IMG_290"/>
                          <pic:cNvPicPr>
                            <a:picLocks noChangeAspect="1"/>
                          </pic:cNvPicPr>
                        </pic:nvPicPr>
                        <pic:blipFill>
                          <a:blip r:embed="rId38"/>
                          <a:stretch>
                            <a:fillRect/>
                          </a:stretch>
                        </pic:blipFill>
                        <pic:spPr>
                          <a:xfrm>
                            <a:off x="0" y="0"/>
                            <a:ext cx="5905500" cy="13239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4、搜狐焦点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38" w:name="_Toc380050054"/>
            <w:r>
              <w:rPr>
                <w:rFonts w:hint="eastAsia" w:ascii="宋体" w:hAnsi="宋体" w:eastAsia="宋体" w:cs="宋体"/>
                <w:caps w:val="0"/>
                <w:spacing w:val="0"/>
                <w:kern w:val="0"/>
                <w:sz w:val="14"/>
                <w:szCs w:val="14"/>
                <w:lang w:val="en-US" w:eastAsia="zh-CN" w:bidi="ar"/>
              </w:rPr>
              <w:t>本月在搜狐焦点网投放广告的主要有</w:t>
            </w:r>
            <w:bookmarkEnd w:id="38"/>
            <w:r>
              <w:rPr>
                <w:rFonts w:hint="eastAsia" w:ascii="宋体" w:hAnsi="宋体" w:eastAsia="宋体" w:cs="宋体"/>
                <w:b/>
                <w:caps w:val="0"/>
                <w:spacing w:val="0"/>
                <w:kern w:val="0"/>
                <w:sz w:val="14"/>
                <w:szCs w:val="14"/>
                <w:lang w:val="en-US" w:eastAsia="zh-CN" w:bidi="ar"/>
              </w:rPr>
              <w:t>星湖湾4期、恒大帝景、恒大·书香府、宜化·巴黎香颂、宜化·新天地</w:t>
            </w:r>
            <w:r>
              <w:rPr>
                <w:rFonts w:hint="eastAsia" w:ascii="宋体" w:hAnsi="宋体" w:eastAsia="宋体" w:cs="宋体"/>
                <w:caps w:val="0"/>
                <w:spacing w:val="0"/>
                <w:kern w:val="0"/>
                <w:sz w:val="14"/>
                <w:szCs w:val="14"/>
                <w:lang w:val="en-US" w:eastAsia="zh-CN" w:bidi="ar"/>
              </w:rPr>
              <w:t>等楼盘。</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905500" cy="6391275"/>
                  <wp:effectExtent l="0" t="0" r="7620" b="9525"/>
                  <wp:docPr id="2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descr="IMG_291"/>
                          <pic:cNvPicPr>
                            <a:picLocks noChangeAspect="1"/>
                          </pic:cNvPicPr>
                        </pic:nvPicPr>
                        <pic:blipFill>
                          <a:blip r:embed="rId39"/>
                          <a:stretch>
                            <a:fillRect/>
                          </a:stretch>
                        </pic:blipFill>
                        <pic:spPr>
                          <a:xfrm>
                            <a:off x="0" y="0"/>
                            <a:ext cx="5905500" cy="63912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本月网络媒体投放情况：在搜房网投放广告的楼盘有6个，比上月增加3个，环比上涨100%；在大楚网投放广告的楼盘有9个，与上月持平；在新浪网投放广告的楼盘有3个，比上月减少2个，环比下跌40%；在搜狐焦点网投放广告的楼盘有5个，比上月增加1个，环比上涨25%。本月在网络媒体投放广告最多的主要为</w:t>
            </w:r>
            <w:r>
              <w:rPr>
                <w:rFonts w:hint="eastAsia" w:ascii="宋体" w:hAnsi="宋体" w:eastAsia="宋体" w:cs="宋体"/>
                <w:b/>
                <w:caps w:val="0"/>
                <w:spacing w:val="0"/>
                <w:kern w:val="0"/>
                <w:sz w:val="14"/>
                <w:szCs w:val="14"/>
                <w:lang w:val="en-US" w:eastAsia="zh-CN" w:bidi="ar"/>
              </w:rPr>
              <w:t>宜化·巴黎香颂、宜化·新天地、星湖湾4期、恒大·山水城</w:t>
            </w:r>
            <w:r>
              <w:rPr>
                <w:rFonts w:hint="eastAsia" w:ascii="宋体" w:hAnsi="宋体" w:eastAsia="宋体" w:cs="宋体"/>
                <w:caps w:val="0"/>
                <w:spacing w:val="0"/>
                <w:kern w:val="0"/>
                <w:sz w:val="14"/>
                <w:szCs w:val="14"/>
                <w:lang w:val="en-US" w:eastAsia="zh-CN" w:bidi="ar"/>
              </w:rPr>
              <w:t>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网络媒体最新动态为：</w:t>
            </w:r>
            <w:r>
              <w:rPr>
                <w:rFonts w:hint="eastAsia" w:ascii="宋体" w:hAnsi="宋体" w:eastAsia="宋体" w:cs="宋体"/>
                <w:b/>
                <w:caps w:val="0"/>
                <w:spacing w:val="0"/>
                <w:kern w:val="0"/>
                <w:sz w:val="14"/>
                <w:szCs w:val="14"/>
                <w:lang w:val="en-US" w:eastAsia="zh-CN" w:bidi="ar"/>
              </w:rPr>
              <w:t>恒大山水城</w:t>
            </w:r>
            <w:r>
              <w:rPr>
                <w:rFonts w:hint="eastAsia" w:ascii="宋体" w:hAnsi="宋体" w:eastAsia="宋体" w:cs="宋体"/>
                <w:caps w:val="0"/>
                <w:spacing w:val="0"/>
                <w:kern w:val="0"/>
                <w:sz w:val="14"/>
                <w:szCs w:val="14"/>
                <w:lang w:val="en-US" w:eastAsia="zh-CN" w:bidi="ar"/>
              </w:rPr>
              <w:t>VIP团购2千抵3万；</w:t>
            </w:r>
            <w:r>
              <w:rPr>
                <w:rFonts w:hint="eastAsia" w:ascii="宋体" w:hAnsi="宋体" w:eastAsia="宋体" w:cs="宋体"/>
                <w:b/>
                <w:caps w:val="0"/>
                <w:spacing w:val="0"/>
                <w:kern w:val="0"/>
                <w:sz w:val="14"/>
                <w:szCs w:val="14"/>
                <w:lang w:val="en-US" w:eastAsia="zh-CN" w:bidi="ar"/>
              </w:rPr>
              <w:t>兴润·秋语台</w:t>
            </w:r>
            <w:r>
              <w:rPr>
                <w:rFonts w:hint="eastAsia" w:ascii="宋体" w:hAnsi="宋体" w:eastAsia="宋体" w:cs="宋体"/>
                <w:caps w:val="0"/>
                <w:spacing w:val="0"/>
                <w:kern w:val="0"/>
                <w:sz w:val="14"/>
                <w:szCs w:val="14"/>
                <w:lang w:val="en-US" w:eastAsia="zh-CN" w:bidi="ar"/>
              </w:rPr>
              <w:t>8号楼加推；</w:t>
            </w:r>
            <w:r>
              <w:rPr>
                <w:rFonts w:hint="eastAsia" w:ascii="宋体" w:hAnsi="宋体" w:eastAsia="宋体" w:cs="宋体"/>
                <w:b/>
                <w:caps w:val="0"/>
                <w:spacing w:val="0"/>
                <w:kern w:val="0"/>
                <w:sz w:val="14"/>
                <w:szCs w:val="14"/>
                <w:lang w:val="en-US" w:eastAsia="zh-CN" w:bidi="ar"/>
              </w:rPr>
              <w:t>新华广场</w:t>
            </w:r>
            <w:r>
              <w:rPr>
                <w:rFonts w:hint="eastAsia" w:ascii="宋体" w:hAnsi="宋体" w:eastAsia="宋体" w:cs="宋体"/>
                <w:caps w:val="0"/>
                <w:spacing w:val="0"/>
                <w:kern w:val="0"/>
                <w:sz w:val="14"/>
                <w:szCs w:val="14"/>
                <w:lang w:val="en-US" w:eastAsia="zh-CN" w:bidi="ar"/>
              </w:rPr>
              <w:t>6.18开盘；</w:t>
            </w:r>
            <w:r>
              <w:rPr>
                <w:rFonts w:hint="eastAsia" w:ascii="宋体" w:hAnsi="宋体" w:eastAsia="宋体" w:cs="宋体"/>
                <w:b/>
                <w:caps w:val="0"/>
                <w:spacing w:val="0"/>
                <w:kern w:val="0"/>
                <w:sz w:val="14"/>
                <w:szCs w:val="14"/>
                <w:lang w:val="en-US" w:eastAsia="zh-CN" w:bidi="ar"/>
              </w:rPr>
              <w:t>江南URD“下一代城市”启幕发布会；城中半岛</w:t>
            </w:r>
            <w:r>
              <w:rPr>
                <w:rFonts w:hint="eastAsia" w:ascii="宋体" w:hAnsi="宋体" w:eastAsia="宋体" w:cs="宋体"/>
                <w:caps w:val="0"/>
                <w:spacing w:val="0"/>
                <w:kern w:val="0"/>
                <w:sz w:val="14"/>
                <w:szCs w:val="14"/>
                <w:lang w:val="en-US" w:eastAsia="zh-CN" w:bidi="ar"/>
              </w:rPr>
              <w:t>水上乐园6.18开放；</w:t>
            </w:r>
            <w:r>
              <w:rPr>
                <w:rFonts w:hint="eastAsia" w:ascii="宋体" w:hAnsi="宋体" w:eastAsia="宋体" w:cs="宋体"/>
                <w:b/>
                <w:caps w:val="0"/>
                <w:spacing w:val="0"/>
                <w:kern w:val="0"/>
                <w:sz w:val="14"/>
                <w:szCs w:val="14"/>
                <w:lang w:val="en-US" w:eastAsia="zh-CN" w:bidi="ar"/>
              </w:rPr>
              <w:t>梧桐邑3期【七贤台】</w:t>
            </w:r>
            <w:r>
              <w:rPr>
                <w:rFonts w:hint="eastAsia" w:ascii="宋体" w:hAnsi="宋体" w:eastAsia="宋体" w:cs="宋体"/>
                <w:caps w:val="0"/>
                <w:spacing w:val="0"/>
                <w:kern w:val="0"/>
                <w:sz w:val="14"/>
                <w:szCs w:val="14"/>
                <w:lang w:val="en-US" w:eastAsia="zh-CN" w:bidi="ar"/>
              </w:rPr>
              <w:t>40号楼加推；</w:t>
            </w:r>
            <w:r>
              <w:rPr>
                <w:rFonts w:hint="eastAsia" w:ascii="宋体" w:hAnsi="宋体" w:eastAsia="宋体" w:cs="宋体"/>
                <w:b/>
                <w:caps w:val="0"/>
                <w:spacing w:val="0"/>
                <w:kern w:val="0"/>
                <w:sz w:val="14"/>
                <w:szCs w:val="14"/>
                <w:lang w:val="en-US" w:eastAsia="zh-CN" w:bidi="ar"/>
              </w:rPr>
              <w:t>恒大帝景i+公馆</w:t>
            </w:r>
            <w:r>
              <w:rPr>
                <w:rFonts w:hint="eastAsia" w:ascii="宋体" w:hAnsi="宋体" w:eastAsia="宋体" w:cs="宋体"/>
                <w:caps w:val="0"/>
                <w:spacing w:val="0"/>
                <w:kern w:val="0"/>
                <w:sz w:val="14"/>
                <w:szCs w:val="14"/>
                <w:lang w:val="en-US" w:eastAsia="zh-CN" w:bidi="ar"/>
              </w:rPr>
              <w:t>电子竞技争霸赛。</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7"/>
                <w:szCs w:val="27"/>
                <w:lang w:val="en-US" w:eastAsia="zh-CN" w:bidi="ar"/>
              </w:rPr>
              <w:t>四、活动集锦</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7"/>
                <w:szCs w:val="27"/>
                <w:lang w:val="en-US" w:eastAsia="zh-CN" w:bidi="ar"/>
              </w:rPr>
              <w:drawing>
                <wp:inline distT="0" distB="0" distL="114300" distR="114300">
                  <wp:extent cx="5581650" cy="1924050"/>
                  <wp:effectExtent l="0" t="0" r="11430" b="11430"/>
                  <wp:docPr id="31"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descr="IMG_292"/>
                          <pic:cNvPicPr>
                            <a:picLocks noChangeAspect="1"/>
                          </pic:cNvPicPr>
                        </pic:nvPicPr>
                        <pic:blipFill>
                          <a:blip r:embed="rId40"/>
                          <a:stretch>
                            <a:fillRect/>
                          </a:stretch>
                        </pic:blipFill>
                        <pic:spPr>
                          <a:xfrm>
                            <a:off x="0" y="0"/>
                            <a:ext cx="5581650" cy="1924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恒大帝景宜昌首届国际梦幻灯光秀              国宾壹号二期新品发布暨业主答谢会</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drawing>
                <wp:inline distT="0" distB="0" distL="114300" distR="114300">
                  <wp:extent cx="5600700" cy="1914525"/>
                  <wp:effectExtent l="0" t="0" r="7620" b="5715"/>
                  <wp:docPr id="3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IMG_293"/>
                          <pic:cNvPicPr>
                            <a:picLocks noChangeAspect="1"/>
                          </pic:cNvPicPr>
                        </pic:nvPicPr>
                        <pic:blipFill>
                          <a:blip r:embed="rId41"/>
                          <a:stretch>
                            <a:fillRect/>
                          </a:stretch>
                        </pic:blipFill>
                        <pic:spPr>
                          <a:xfrm>
                            <a:off x="0" y="0"/>
                            <a:ext cx="5600700" cy="1914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江南URD“下一代城市”启幕发布会              宜昌碧桂园二期观山悦洋房开盘</w:t>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righ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武汉正邦兴业地产顾问有限公司</w:t>
            </w:r>
          </w:p>
          <w:p>
            <w:pPr>
              <w:keepNext w:val="0"/>
              <w:keepLines w:val="0"/>
              <w:widowControl/>
              <w:suppressLineNumbers w:val="0"/>
              <w:spacing w:line="24" w:lineRule="atLeast"/>
              <w:ind w:left="0" w:firstLine="0"/>
              <w:jc w:val="righ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2016年7月</w:t>
            </w:r>
          </w:p>
          <w:p>
            <w:pPr>
              <w:keepNext w:val="0"/>
              <w:keepLines w:val="0"/>
              <w:widowControl/>
              <w:suppressLineNumbers w:val="0"/>
              <w:spacing w:line="24" w:lineRule="atLeast"/>
              <w:ind w:left="0" w:firstLine="0"/>
              <w:jc w:val="righ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righ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righ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7F5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2019-09-30T03:54:15Z</dcterms:created>
  <dc:creator>HP</dc:creator>
  <cp:lastModifiedBy>joke</cp:lastModifiedBy>
  <dcterms:modified xsi:type="dcterms:W3CDTF">2019-09-30T03:55:06Z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