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8306" w:type="dxa"/>
        <w:jc w:val="center"/>
        <w:tblCellSpacing w:w="0" w:type="dxa"/>
        <w:shd w:val="clear" w:color="auto" w:fill="FFFFFF"/>
        <w:tblLayout w:type="fixed"/>
        <w:tblCellMar>
          <w:top w:w="0" w:type="dxa"/>
          <w:left w:w="0" w:type="dxa"/>
          <w:bottom w:w="0" w:type="dxa"/>
          <w:right w:w="0" w:type="dxa"/>
        </w:tblCellMar>
      </w:tblPr>
      <w:tblGrid>
        <w:gridCol w:w="8306"/>
      </w:tblGrid>
      <w:tr>
        <w:tblPrEx>
          <w:shd w:val="clear" w:color="auto" w:fill="FFFFFF"/>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keepNext w:val="0"/>
              <w:keepLines w:val="0"/>
              <w:widowControl/>
              <w:suppressLineNumbers w:val="0"/>
              <w:spacing w:before="0" w:beforeAutospacing="1" w:after="0" w:afterAutospacing="1" w:line="216" w:lineRule="atLeast"/>
              <w:ind w:left="0" w:right="0"/>
              <w:jc w:val="left"/>
            </w:pPr>
            <w:r>
              <w:rPr>
                <w:rFonts w:ascii="微软雅黑" w:hAnsi="微软雅黑" w:eastAsia="微软雅黑" w:cs="微软雅黑"/>
                <w:caps w:val="0"/>
                <w:spacing w:val="0"/>
                <w:kern w:val="0"/>
                <w:sz w:val="32"/>
                <w:szCs w:val="32"/>
                <w:lang w:val="en-US" w:eastAsia="zh-CN" w:bidi="ar"/>
              </w:rPr>
              <w:t>特别提醒</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数据采集时间说明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本文内宏观政策、城市规划以及市场观点信息采集日期为2018年11月1日-30日；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本文内市场供应数据采集日期为2018年11月1日-30日；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本文内市场销售数据采集日期为2018年11月1日-30日；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本文内土地市场新增数据采集日期为2018年11月全月数据；</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本文内土地市场成交数据采集日期为2018年11月1日-30日；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本文内媒体登录数据采集日期为2018年11月1日-30日。</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版权说明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本文内包含的资料属于武汉正邦兴业地产顾问有限公司的商业机密, 一旦泄漏，可能被商业竞争者利用，因此本文档内容仅限于武汉正邦兴业地产顾问有限公司内部及相关合作伙伴参考之用，除此之外，不得私自发布、使用和复制文档的任何内容。</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如果武汉正邦兴业地产顾问有限公司相关合作方或第三方决定采用本文或本文内数据，对本文档中数据的发布、使用和复制的必须通告武汉正邦兴业地产顾问有限公司并且在引用文本中进行明确说明。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本限制条款不适用于从其它合法渠道得到对文中包含数据的使用授权的情况。</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版权由武汉正邦兴业地产顾问有限公司所有。</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本报告数据说明：</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1、本报告中所涉及的批准预售、新开盘及加推、成交数据未特别注明的，均为建筑面积。</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2、本报告中所涉及的新开盘及加推、成交价格未特别注明的，均为建筑面积价格。</w:t>
            </w:r>
          </w:p>
          <w:p>
            <w:pPr>
              <w:keepNext w:val="0"/>
              <w:keepLines w:val="0"/>
              <w:widowControl/>
              <w:suppressLineNumbers w:val="0"/>
              <w:spacing w:before="0" w:beforeAutospacing="1" w:after="0" w:afterAutospacing="1" w:line="400" w:lineRule="atLeast"/>
              <w:ind w:left="0" w:right="0"/>
              <w:jc w:val="left"/>
            </w:pPr>
            <w:r>
              <w:rPr>
                <w:rFonts w:hint="eastAsia" w:ascii="微软雅黑" w:hAnsi="微软雅黑" w:eastAsia="微软雅黑" w:cs="微软雅黑"/>
                <w:caps w:val="0"/>
                <w:spacing w:val="0"/>
                <w:kern w:val="0"/>
                <w:sz w:val="21"/>
                <w:szCs w:val="21"/>
                <w:lang w:val="en-US" w:eastAsia="zh-CN" w:bidi="ar"/>
              </w:rPr>
              <w:t>3、本报告中批准预售、成交数据均来自宜昌房地产交易网站；土地数据来自宜昌市国土资源局网站。</w:t>
            </w:r>
          </w:p>
          <w:p>
            <w:pPr>
              <w:keepNext w:val="0"/>
              <w:keepLines w:val="0"/>
              <w:widowControl/>
              <w:suppressLineNumbers w:val="0"/>
              <w:spacing w:before="0" w:beforeAutospacing="1" w:after="0" w:afterAutospacing="1" w:line="24" w:lineRule="atLeast"/>
              <w:ind w:left="0" w:right="0"/>
              <w:jc w:val="left"/>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before="0" w:beforeAutospacing="1" w:after="0" w:afterAutospacing="1" w:line="24" w:lineRule="atLeast"/>
              <w:ind w:left="0" w:right="0"/>
              <w:jc w:val="left"/>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before="0" w:beforeAutospacing="1" w:after="0" w:afterAutospacing="1" w:line="24" w:lineRule="atLeast"/>
              <w:ind w:left="0" w:right="0"/>
              <w:jc w:val="left"/>
            </w:pPr>
            <w:r>
              <w:rPr>
                <w:rFonts w:hint="eastAsia" w:ascii="宋体" w:hAnsi="宋体" w:eastAsia="宋体" w:cs="宋体"/>
                <w:caps w:val="0"/>
                <w:spacing w:val="0"/>
                <w:kern w:val="0"/>
                <w:sz w:val="21"/>
                <w:szCs w:val="21"/>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第一部分   楼市政策分析</w:t>
            </w:r>
          </w:p>
          <w:p>
            <w:pPr>
              <w:keepNext w:val="0"/>
              <w:keepLines w:val="0"/>
              <w:widowControl/>
              <w:suppressLineNumbers w:val="0"/>
              <w:spacing w:before="0" w:beforeAutospacing="1" w:after="0" w:afterAutospacing="1" w:line="24" w:lineRule="atLeast"/>
              <w:ind w:left="0" w:right="0"/>
              <w:jc w:val="left"/>
            </w:pPr>
            <w:r>
              <w:rPr>
                <w:rFonts w:hint="eastAsia" w:ascii="微软雅黑" w:hAnsi="微软雅黑" w:eastAsia="微软雅黑" w:cs="微软雅黑"/>
                <w:caps w:val="0"/>
                <w:spacing w:val="0"/>
                <w:kern w:val="0"/>
                <w:sz w:val="21"/>
                <w:szCs w:val="21"/>
                <w:lang w:val="en-US" w:eastAsia="zh-CN" w:bidi="ar"/>
              </w:rPr>
              <w:t> </w:t>
            </w:r>
          </w:p>
          <w:p>
            <w:pPr>
              <w:pStyle w:val="3"/>
              <w:keepNext w:val="0"/>
              <w:keepLines w:val="0"/>
              <w:widowControl/>
              <w:suppressLineNumbers w:val="0"/>
              <w:shd w:val="clear" w:fill="FFFFFF"/>
              <w:spacing w:before="0" w:beforeAutospacing="1" w:after="0" w:afterAutospacing="1" w:line="24" w:lineRule="atLeast"/>
              <w:ind w:left="720" w:right="0" w:hanging="720"/>
              <w:jc w:val="both"/>
            </w:pPr>
            <w:r>
              <w:rPr>
                <w:rFonts w:hint="eastAsia" w:ascii="微软雅黑" w:hAnsi="微软雅黑" w:eastAsia="微软雅黑" w:cs="微软雅黑"/>
                <w:b/>
                <w:caps w:val="0"/>
                <w:color w:val="333333"/>
                <w:spacing w:val="0"/>
                <w:sz w:val="24"/>
                <w:szCs w:val="24"/>
                <w:shd w:val="clear" w:fill="FFFFFF"/>
              </w:rPr>
              <w:t>1、 宜昌市拟对违建房屋实施行政管控 违建房屋将限制变更、交易。</w:t>
            </w:r>
          </w:p>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宜昌市禁止违法建设领导小组办公室按照《宜昌市禁止违法建设管理办法》对附有违法建筑的建（构）筑物不予登记的规定，正式下发了《关于对附有违法建筑的建（构）筑物不予登记、抵押及变更的通知》，我市将对一批附有违法建设的房屋进行行政管控，存在违建的房屋将被冻结房屋产权的登记和抵押等手续，直到违建拆除。</w:t>
            </w:r>
          </w:p>
          <w:p>
            <w:pPr>
              <w:keepNext w:val="0"/>
              <w:keepLines w:val="0"/>
              <w:widowControl/>
              <w:suppressLineNumbers w:val="0"/>
              <w:spacing w:before="0" w:beforeAutospacing="1" w:after="0" w:afterAutospacing="1" w:line="24" w:lineRule="atLeast"/>
              <w:ind w:left="0" w:right="0"/>
              <w:jc w:val="left"/>
            </w:pPr>
            <w:r>
              <w:rPr>
                <w:rFonts w:hint="eastAsia" w:ascii="微软雅黑" w:hAnsi="微软雅黑" w:eastAsia="微软雅黑" w:cs="微软雅黑"/>
                <w:b/>
                <w:caps w:val="0"/>
                <w:color w:val="333333"/>
                <w:spacing w:val="0"/>
                <w:kern w:val="0"/>
                <w:sz w:val="24"/>
                <w:szCs w:val="24"/>
                <w:shd w:val="clear" w:fill="FFFFFF"/>
                <w:lang w:val="en-US" w:eastAsia="zh-CN" w:bidi="ar"/>
              </w:rPr>
              <w:t>2、11月15日起武汉刚需买房新政正式实施。</w:t>
            </w:r>
          </w:p>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15日起，武汉市备案均价20000元/平方米以内、面积140平方米以下新建商品住宅项目，刚需家庭优先选房房源比例将不低于80%，白沙洲、四新等重点区域比例则将提高至100%。</w:t>
            </w:r>
          </w:p>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具体来看，对于预售备案价低于20000元/平方米(不含20000元/平方米)的新建商品住房项目 ，开发商应将上述新建商品住房项目中户型建筑面积低于140 平方米(不含140平方米)的准售房源 ，采取公证摇号方式随机选取不少于80%的比例(含80%)纳入优先选房范围。其中，江岸区后湖片区、汉阳区四新片区、洪山区白沙洲片区、东湖高新区光谷东片区、东西湖区常青片区、蔡甸区等6个热点区域，按100%的比例纳入优先选房范围。</w:t>
            </w:r>
          </w:p>
          <w:p>
            <w:pPr>
              <w:pStyle w:val="2"/>
              <w:keepNext w:val="0"/>
              <w:keepLines w:val="0"/>
              <w:widowControl/>
              <w:suppressLineNumbers w:val="0"/>
              <w:shd w:val="clear" w:fill="FFFFFF"/>
              <w:spacing w:after="285" w:afterAutospacing="0" w:line="720" w:lineRule="atLeast"/>
            </w:pPr>
            <w:r>
              <w:rPr>
                <w:rFonts w:hint="eastAsia" w:ascii="微软雅黑" w:hAnsi="微软雅黑" w:eastAsia="微软雅黑" w:cs="微软雅黑"/>
                <w:b/>
                <w:caps w:val="0"/>
                <w:color w:val="333333"/>
                <w:spacing w:val="0"/>
                <w:sz w:val="24"/>
                <w:szCs w:val="24"/>
                <w:shd w:val="clear" w:fill="FFFFFF"/>
              </w:rPr>
              <w:t>3、宜昌公积金又有重大调整 可与全国异地转移。</w:t>
            </w:r>
          </w:p>
          <w:p>
            <w:pPr>
              <w:pStyle w:val="3"/>
              <w:keepNext w:val="0"/>
              <w:keepLines w:val="0"/>
              <w:widowControl/>
              <w:suppressLineNumbers w:val="0"/>
              <w:spacing w:before="0" w:beforeAutospacing="1" w:after="0" w:afterAutospacing="1" w:line="360" w:lineRule="atLeast"/>
              <w:ind w:left="0" w:right="0" w:firstLine="420"/>
            </w:pPr>
            <w:r>
              <w:rPr>
                <w:rFonts w:hint="eastAsia" w:ascii="微软雅黑" w:hAnsi="微软雅黑" w:eastAsia="微软雅黑" w:cs="微软雅黑"/>
                <w:caps w:val="0"/>
                <w:spacing w:val="0"/>
                <w:sz w:val="21"/>
                <w:szCs w:val="21"/>
                <w:shd w:val="clear" w:fill="FFFFFF"/>
              </w:rPr>
              <w:t>宜昌住房公积金中心通告，从11月26日起，已实现宜昌公积金业务系统与全国住房公积金异地转移接续平台直联，并在网上服务渠道新增异地转入申请功能，缴存人可足不出户办理公积金异地转移接续业务。实现与全国异地转移接续平台的直连后，缴存人不论线上还是线下申请都不再填写《异地转移接续申请表》，不论是公积金转入还是转出，宜昌公积金中心都在接收转移信息当天及时办结业务，资金实时结算，办结时间远低于住建部规定的5个工作日的办理时间要求。</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color w:val="333333"/>
                <w:spacing w:val="0"/>
                <w:kern w:val="0"/>
                <w:sz w:val="24"/>
                <w:szCs w:val="24"/>
                <w:shd w:val="clear" w:fill="FFFFFF"/>
                <w:lang w:val="en-US" w:eastAsia="zh-CN" w:bidi="ar"/>
              </w:rPr>
              <w:t>4、宜昌城区城市建设绿色发展三年行动方案出台。</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为推动解决我市城区城市建设发展不平衡不充分问题，促进城市建设高质量发展，更好满足人民群众日益增长的美好生活需要，10月16日，市政府制定出台了《宜昌城区城市建设绿色发展三年行动方案》，要求通过三年努力，让城区水环境、大气环境质量明显改善，各类废弃物得到有效收集和处置，海绵城市理念和综合管廊建设得到广泛应用。</w:t>
            </w:r>
          </w:p>
          <w:p>
            <w:pPr>
              <w:keepNext w:val="0"/>
              <w:keepLines w:val="0"/>
              <w:widowControl/>
              <w:suppressLineNumbers w:val="0"/>
              <w:spacing w:before="0" w:beforeAutospacing="1" w:after="0" w:afterAutospacing="1" w:line="216" w:lineRule="atLeast"/>
              <w:ind w:left="0" w:right="0"/>
              <w:jc w:val="both"/>
            </w:pPr>
            <w:r>
              <w:rPr>
                <w:rFonts w:hint="eastAsia" w:ascii="宋体" w:hAnsi="宋体" w:eastAsia="宋体" w:cs="宋体"/>
                <w:b/>
                <w:caps w:val="0"/>
                <w:color w:val="333333"/>
                <w:spacing w:val="0"/>
                <w:kern w:val="0"/>
                <w:sz w:val="21"/>
                <w:szCs w:val="21"/>
                <w:shd w:val="clear" w:fill="FFFFFF"/>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第二部分   土地市场分析</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一、11月土地市场情况</w:t>
            </w:r>
            <w:r>
              <w:rPr>
                <w:rFonts w:hint="eastAsia" w:ascii="宋体" w:hAnsi="宋体" w:eastAsia="宋体" w:cs="宋体"/>
                <w:caps w:val="0"/>
                <w:color w:val="FF0000"/>
                <w:spacing w:val="0"/>
                <w:kern w:val="0"/>
                <w:sz w:val="24"/>
                <w:szCs w:val="24"/>
                <w:lang w:val="en-US" w:eastAsia="zh-CN" w:bidi="ar"/>
              </w:rPr>
              <w:t>  </w:t>
            </w:r>
          </w:p>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b/>
                <w:caps w:val="0"/>
                <w:spacing w:val="0"/>
                <w:kern w:val="0"/>
                <w:sz w:val="21"/>
                <w:szCs w:val="21"/>
                <w:shd w:val="clear" w:fill="FFFFFF"/>
                <w:lang w:val="en-US" w:eastAsia="zh-CN" w:bidi="ar"/>
              </w:rPr>
              <w:t>11月宜昌共出让土地10宗，总出让面积221632.47㎡</w:t>
            </w:r>
            <w:r>
              <w:rPr>
                <w:rFonts w:hint="eastAsia" w:ascii="微软雅黑" w:hAnsi="微软雅黑" w:eastAsia="微软雅黑" w:cs="微软雅黑"/>
                <w:caps w:val="0"/>
                <w:spacing w:val="0"/>
                <w:kern w:val="0"/>
                <w:sz w:val="21"/>
                <w:szCs w:val="21"/>
                <w:shd w:val="clear" w:fill="FFFFFF"/>
                <w:lang w:val="en-US" w:eastAsia="zh-CN" w:bidi="ar"/>
              </w:rPr>
              <w:t>，10宗地块出让方式全部为挂牌出让，</w:t>
            </w:r>
            <w:r>
              <w:rPr>
                <w:rFonts w:hint="eastAsia" w:ascii="微软雅黑" w:hAnsi="微软雅黑" w:eastAsia="微软雅黑" w:cs="微软雅黑"/>
                <w:b/>
                <w:caps w:val="0"/>
                <w:spacing w:val="0"/>
                <w:kern w:val="0"/>
                <w:sz w:val="21"/>
                <w:szCs w:val="21"/>
                <w:shd w:val="clear" w:fill="FFFFFF"/>
                <w:lang w:val="en-US" w:eastAsia="zh-CN" w:bidi="ar"/>
              </w:rPr>
              <w:t>出让起拍总金额约60834万元</w:t>
            </w:r>
            <w:r>
              <w:rPr>
                <w:rFonts w:hint="eastAsia" w:ascii="微软雅黑" w:hAnsi="微软雅黑" w:eastAsia="微软雅黑" w:cs="微软雅黑"/>
                <w:caps w:val="0"/>
                <w:spacing w:val="0"/>
                <w:kern w:val="0"/>
                <w:sz w:val="21"/>
                <w:szCs w:val="21"/>
                <w:shd w:val="clear" w:fill="FFFFFF"/>
                <w:lang w:val="en-US" w:eastAsia="zh-CN" w:bidi="ar"/>
              </w:rPr>
              <w:t>。土地总供应量</w:t>
            </w:r>
            <w:r>
              <w:rPr>
                <w:rFonts w:hint="eastAsia" w:ascii="微软雅黑" w:hAnsi="微软雅黑" w:eastAsia="微软雅黑" w:cs="微软雅黑"/>
                <w:b/>
                <w:caps w:val="0"/>
                <w:spacing w:val="0"/>
                <w:kern w:val="0"/>
                <w:sz w:val="21"/>
                <w:szCs w:val="21"/>
                <w:shd w:val="clear" w:fill="FFFFFF"/>
                <w:lang w:val="en-US" w:eastAsia="zh-CN" w:bidi="ar"/>
              </w:rPr>
              <w:t>环比、同比自9月来首次大幅增加。</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color w:val="FF0000"/>
                <w:spacing w:val="0"/>
                <w:kern w:val="0"/>
                <w:sz w:val="24"/>
                <w:szCs w:val="24"/>
                <w:shd w:val="clear" w:fill="FFFFFF"/>
                <w:lang w:val="en-US" w:eastAsia="zh-CN" w:bidi="ar"/>
              </w:rPr>
              <w:drawing>
                <wp:inline distT="0" distB="0" distL="114300" distR="114300">
                  <wp:extent cx="5267325" cy="2438400"/>
                  <wp:effectExtent l="0" t="0" r="571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7325" cy="2438400"/>
                          </a:xfrm>
                          <a:prstGeom prst="rect">
                            <a:avLst/>
                          </a:prstGeom>
                          <a:noFill/>
                          <a:ln w="9525">
                            <a:noFill/>
                          </a:ln>
                        </pic:spPr>
                      </pic:pic>
                    </a:graphicData>
                  </a:graphic>
                </wp:inline>
              </w:drawing>
            </w:r>
            <w:r>
              <w:rPr>
                <w:rFonts w:hint="eastAsia" w:ascii="微软雅黑" w:hAnsi="微软雅黑" w:eastAsia="微软雅黑" w:cs="微软雅黑"/>
                <w:b/>
                <w:caps w:val="0"/>
                <w:color w:val="FF0000"/>
                <w:spacing w:val="0"/>
                <w:kern w:val="0"/>
                <w:sz w:val="24"/>
                <w:szCs w:val="24"/>
                <w:shd w:val="clear" w:fill="FFFFFF"/>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二、11月土地供应情况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150" w:right="150" w:firstLine="420"/>
              <w:jc w:val="both"/>
            </w:pPr>
            <w:r>
              <w:rPr>
                <w:rFonts w:hint="eastAsia" w:ascii="微软雅黑" w:hAnsi="微软雅黑" w:eastAsia="微软雅黑" w:cs="微软雅黑"/>
                <w:caps w:val="0"/>
                <w:spacing w:val="0"/>
                <w:sz w:val="21"/>
                <w:szCs w:val="21"/>
                <w:shd w:val="clear" w:fill="FFFFFF"/>
              </w:rPr>
              <w:t>从供应区域来看，11月供地区域主要分布在猇亭区、高新区和夷陵区，其中</w:t>
            </w:r>
            <w:r>
              <w:rPr>
                <w:rFonts w:hint="eastAsia" w:ascii="微软雅黑" w:hAnsi="微软雅黑" w:eastAsia="微软雅黑" w:cs="微软雅黑"/>
                <w:b/>
                <w:caps w:val="0"/>
                <w:spacing w:val="0"/>
                <w:sz w:val="21"/>
                <w:szCs w:val="21"/>
                <w:shd w:val="clear" w:fill="FFFFFF"/>
              </w:rPr>
              <w:t>猇亭区4宗；高新区3宗，夷陵区2宗。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150" w:right="150" w:firstLine="420"/>
              <w:jc w:val="both"/>
            </w:pPr>
            <w:r>
              <w:rPr>
                <w:rFonts w:hint="eastAsia" w:ascii="微软雅黑" w:hAnsi="微软雅黑" w:eastAsia="微软雅黑" w:cs="微软雅黑"/>
                <w:caps w:val="0"/>
                <w:spacing w:val="0"/>
                <w:sz w:val="21"/>
                <w:szCs w:val="21"/>
                <w:shd w:val="clear" w:fill="FFFFFF"/>
              </w:rPr>
              <w:t>从土地用途来看，11月供地中，</w:t>
            </w:r>
            <w:r>
              <w:rPr>
                <w:rFonts w:hint="eastAsia" w:ascii="微软雅黑" w:hAnsi="微软雅黑" w:eastAsia="微软雅黑" w:cs="微软雅黑"/>
                <w:b/>
                <w:caps w:val="0"/>
                <w:spacing w:val="0"/>
                <w:sz w:val="21"/>
                <w:szCs w:val="21"/>
                <w:shd w:val="clear" w:fill="FFFFFF"/>
              </w:rPr>
              <w:t>8宗为工业用地，2宗为商住用地</w:t>
            </w:r>
            <w:r>
              <w:rPr>
                <w:rFonts w:hint="eastAsia" w:ascii="微软雅黑" w:hAnsi="微软雅黑" w:eastAsia="微软雅黑" w:cs="微软雅黑"/>
                <w:caps w:val="0"/>
                <w:spacing w:val="0"/>
                <w:sz w:val="21"/>
                <w:szCs w:val="21"/>
                <w:shd w:val="clear" w:fill="FFFFFF"/>
              </w:rPr>
              <w:t>。并且20%的商住用地占据了超80%的起拍总金额，实际达88%。</w:t>
            </w:r>
          </w:p>
          <w:tbl>
            <w:tblPr>
              <w:tblStyle w:val="4"/>
              <w:tblW w:w="8323" w:type="dxa"/>
              <w:tblInd w:w="83" w:type="dxa"/>
              <w:shd w:val="clear" w:color="auto" w:fill="auto"/>
              <w:tblLayout w:type="fixed"/>
              <w:tblCellMar>
                <w:top w:w="15" w:type="dxa"/>
                <w:left w:w="15" w:type="dxa"/>
                <w:bottom w:w="15" w:type="dxa"/>
                <w:right w:w="15" w:type="dxa"/>
              </w:tblCellMar>
            </w:tblPr>
            <w:tblGrid>
              <w:gridCol w:w="480"/>
              <w:gridCol w:w="1618"/>
              <w:gridCol w:w="1541"/>
              <w:gridCol w:w="726"/>
              <w:gridCol w:w="763"/>
              <w:gridCol w:w="855"/>
              <w:gridCol w:w="675"/>
              <w:gridCol w:w="675"/>
              <w:gridCol w:w="990"/>
            </w:tblGrid>
            <w:tr>
              <w:tblPrEx>
                <w:shd w:val="clear" w:color="auto" w:fill="auto"/>
                <w:tblCellMar>
                  <w:top w:w="15" w:type="dxa"/>
                  <w:left w:w="15" w:type="dxa"/>
                  <w:bottom w:w="15" w:type="dxa"/>
                  <w:right w:w="15" w:type="dxa"/>
                </w:tblCellMar>
              </w:tblPrEx>
              <w:trPr>
                <w:trHeight w:val="301" w:hRule="atLeast"/>
              </w:trPr>
              <w:tc>
                <w:tcPr>
                  <w:tcW w:w="8323" w:type="dxa"/>
                  <w:gridSpan w:val="9"/>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21"/>
                      <w:szCs w:val="21"/>
                      <w:lang w:val="en-US" w:eastAsia="zh-CN" w:bidi="ar"/>
                    </w:rPr>
                    <w:t>11月宜昌土地供应</w:t>
                  </w:r>
                </w:p>
              </w:tc>
            </w:tr>
            <w:tr>
              <w:tblPrEx>
                <w:tblCellMar>
                  <w:top w:w="15" w:type="dxa"/>
                  <w:left w:w="15" w:type="dxa"/>
                  <w:bottom w:w="15" w:type="dxa"/>
                  <w:right w:w="15" w:type="dxa"/>
                </w:tblCellMar>
              </w:tblPrEx>
              <w:trPr>
                <w:trHeight w:val="540" w:hRule="atLeast"/>
              </w:trPr>
              <w:tc>
                <w:tcPr>
                  <w:tcW w:w="480"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序号</w:t>
                  </w:r>
                </w:p>
              </w:tc>
              <w:tc>
                <w:tcPr>
                  <w:tcW w:w="1618"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地块编号</w:t>
                  </w:r>
                </w:p>
              </w:tc>
              <w:tc>
                <w:tcPr>
                  <w:tcW w:w="1541"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地块位置</w:t>
                  </w:r>
                </w:p>
              </w:tc>
              <w:tc>
                <w:tcPr>
                  <w:tcW w:w="726"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土地面积(㎡）</w:t>
                  </w:r>
                </w:p>
              </w:tc>
              <w:tc>
                <w:tcPr>
                  <w:tcW w:w="763"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用途</w:t>
                  </w:r>
                </w:p>
              </w:tc>
              <w:tc>
                <w:tcPr>
                  <w:tcW w:w="85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容积率</w:t>
                  </w:r>
                </w:p>
              </w:tc>
              <w:tc>
                <w:tcPr>
                  <w:tcW w:w="67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出让年限</w:t>
                  </w:r>
                </w:p>
              </w:tc>
              <w:tc>
                <w:tcPr>
                  <w:tcW w:w="67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起始价（万元）</w:t>
                  </w:r>
                </w:p>
              </w:tc>
              <w:tc>
                <w:tcPr>
                  <w:tcW w:w="99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5"/>
                      <w:szCs w:val="15"/>
                      <w:lang w:val="en-US" w:eastAsia="zh-CN" w:bidi="ar"/>
                    </w:rPr>
                    <w:t>起始楼面价（元/㎡）</w:t>
                  </w:r>
                </w:p>
              </w:tc>
            </w:tr>
            <w:tr>
              <w:tblPrEx>
                <w:tblCellMar>
                  <w:top w:w="15" w:type="dxa"/>
                  <w:left w:w="15" w:type="dxa"/>
                  <w:bottom w:w="15" w:type="dxa"/>
                  <w:right w:w="15" w:type="dxa"/>
                </w:tblCellMar>
              </w:tblPrEx>
              <w:trPr>
                <w:trHeight w:val="540"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宜土网挂（2018）33号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猇亭区车站路</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2243.42</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1.0-2.0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65</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145</w:t>
                  </w:r>
                </w:p>
              </w:tc>
            </w:tr>
            <w:tr>
              <w:tblPrEx>
                <w:shd w:val="clear" w:color="auto" w:fill="auto"/>
                <w:tblCellMar>
                  <w:top w:w="15" w:type="dxa"/>
                  <w:left w:w="15" w:type="dxa"/>
                  <w:bottom w:w="15" w:type="dxa"/>
                  <w:right w:w="15" w:type="dxa"/>
                </w:tblCellMar>
              </w:tblPrEx>
              <w:trPr>
                <w:trHeight w:val="540"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宜土网挂（2018）34号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猇亭区车站路</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2941.47</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1.0-2.0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85</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144</w:t>
                  </w:r>
                </w:p>
              </w:tc>
            </w:tr>
            <w:tr>
              <w:tblPrEx>
                <w:shd w:val="clear" w:color="auto" w:fill="auto"/>
                <w:tblCellMar>
                  <w:top w:w="15" w:type="dxa"/>
                  <w:left w:w="15" w:type="dxa"/>
                  <w:bottom w:w="15" w:type="dxa"/>
                  <w:right w:w="15" w:type="dxa"/>
                </w:tblCellMar>
              </w:tblPrEx>
              <w:trPr>
                <w:trHeight w:val="540"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3</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宜土网挂（2018）35号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电子信息产业园</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510.01</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1.0-2.0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15</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147</w:t>
                  </w:r>
                </w:p>
              </w:tc>
            </w:tr>
            <w:tr>
              <w:tblPrEx>
                <w:tblCellMar>
                  <w:top w:w="15" w:type="dxa"/>
                  <w:left w:w="15" w:type="dxa"/>
                  <w:bottom w:w="15" w:type="dxa"/>
                  <w:right w:w="15" w:type="dxa"/>
                </w:tblCellMar>
              </w:tblPrEx>
              <w:trPr>
                <w:trHeight w:val="286"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4</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宜土网挂（2018）36号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东山园区长机路与青岛路交汇处</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42287.12</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5058</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1196</w:t>
                  </w:r>
                </w:p>
              </w:tc>
            </w:tr>
            <w:tr>
              <w:tblPrEx>
                <w:tblCellMar>
                  <w:top w:w="15" w:type="dxa"/>
                  <w:left w:w="15" w:type="dxa"/>
                  <w:bottom w:w="15" w:type="dxa"/>
                  <w:right w:w="15" w:type="dxa"/>
                </w:tblCellMar>
              </w:tblPrEx>
              <w:trPr>
                <w:trHeight w:val="286"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夷G[2018]31号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东城实验区梅子垭村</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35415</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商住</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住70    商40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17710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2500</w:t>
                  </w:r>
                </w:p>
              </w:tc>
            </w:tr>
            <w:tr>
              <w:tblPrEx>
                <w:tblCellMar>
                  <w:top w:w="15" w:type="dxa"/>
                  <w:left w:w="15" w:type="dxa"/>
                  <w:bottom w:w="15" w:type="dxa"/>
                  <w:right w:w="15" w:type="dxa"/>
                </w:tblCellMar>
              </w:tblPrEx>
              <w:trPr>
                <w:trHeight w:val="735"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6</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夷G[2018]32号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东城实验区梅子垭村</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65454.61</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商住</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地块一≦2.2   地块二≦1.6   地块三≦2.4  </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住70    商40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35800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2501</w:t>
                  </w:r>
                </w:p>
              </w:tc>
            </w:tr>
            <w:tr>
              <w:tblPrEx>
                <w:tblCellMar>
                  <w:top w:w="15" w:type="dxa"/>
                  <w:left w:w="15" w:type="dxa"/>
                  <w:bottom w:w="15" w:type="dxa"/>
                  <w:right w:w="15" w:type="dxa"/>
                </w:tblCellMar>
              </w:tblPrEx>
              <w:trPr>
                <w:trHeight w:val="286"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7</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宜土网挂（2018）37号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东山园区兰台支路东侧</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5601.45</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162</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289</w:t>
                  </w:r>
                </w:p>
              </w:tc>
            </w:tr>
            <w:tr>
              <w:tblPrEx>
                <w:shd w:val="clear" w:color="auto" w:fill="auto"/>
                <w:tblCellMar>
                  <w:top w:w="15" w:type="dxa"/>
                  <w:left w:w="15" w:type="dxa"/>
                  <w:bottom w:w="15" w:type="dxa"/>
                  <w:right w:w="15" w:type="dxa"/>
                </w:tblCellMar>
              </w:tblPrEx>
              <w:trPr>
                <w:trHeight w:val="286"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8</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宜土网挂（2018）38号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猇亭区车站路</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38563.97</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1.0-2.0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1113</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144</w:t>
                  </w:r>
                </w:p>
              </w:tc>
            </w:tr>
            <w:tr>
              <w:tblPrEx>
                <w:tblCellMar>
                  <w:top w:w="15" w:type="dxa"/>
                  <w:left w:w="15" w:type="dxa"/>
                  <w:bottom w:w="15" w:type="dxa"/>
                  <w:right w:w="15" w:type="dxa"/>
                </w:tblCellMar>
              </w:tblPrEx>
              <w:trPr>
                <w:trHeight w:val="286"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9</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宜土网挂（2018）39号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猇亭区逢桥路</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8586</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1.0-2.0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248</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144</w:t>
                  </w:r>
                </w:p>
              </w:tc>
            </w:tr>
            <w:tr>
              <w:tblPrEx>
                <w:tblCellMar>
                  <w:top w:w="15" w:type="dxa"/>
                  <w:left w:w="15" w:type="dxa"/>
                  <w:bottom w:w="15" w:type="dxa"/>
                  <w:right w:w="15" w:type="dxa"/>
                </w:tblCellMar>
              </w:tblPrEx>
              <w:trPr>
                <w:trHeight w:val="286" w:hRule="atLeast"/>
              </w:trPr>
              <w:tc>
                <w:tcPr>
                  <w:tcW w:w="4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w:t>
                  </w:r>
                </w:p>
              </w:tc>
              <w:tc>
                <w:tcPr>
                  <w:tcW w:w="16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宜土网挂（2018）40号</w:t>
                  </w:r>
                </w:p>
              </w:tc>
              <w:tc>
                <w:tcPr>
                  <w:tcW w:w="15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生物产业园共同北路东侧</w:t>
                  </w:r>
                </w:p>
              </w:tc>
              <w:tc>
                <w:tcPr>
                  <w:tcW w:w="7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20029.42</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工业</w:t>
                  </w:r>
                </w:p>
              </w:tc>
              <w:tc>
                <w:tcPr>
                  <w:tcW w:w="8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≧1.0</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50年</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578</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5"/>
                      <w:szCs w:val="15"/>
                      <w:lang w:val="en-US" w:eastAsia="zh-CN" w:bidi="ar"/>
                    </w:rPr>
                    <w:t>289</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0" w:right="150" w:firstLine="420"/>
              <w:jc w:val="both"/>
            </w:pPr>
            <w:r>
              <w:rPr>
                <w:rFonts w:hint="eastAsia" w:ascii="微软雅黑" w:hAnsi="微软雅黑" w:eastAsia="微软雅黑" w:cs="微软雅黑"/>
                <w:b/>
                <w:caps w:val="0"/>
                <w:spacing w:val="0"/>
                <w:sz w:val="21"/>
                <w:szCs w:val="21"/>
                <w:shd w:val="clear" w:fill="FFFFFF"/>
              </w:rPr>
              <w:t>11月土地出让数量、出让面积、最低起始价均环比大幅增加</w:t>
            </w:r>
            <w:r>
              <w:rPr>
                <w:rFonts w:hint="eastAsia" w:ascii="微软雅黑" w:hAnsi="微软雅黑" w:eastAsia="微软雅黑" w:cs="微软雅黑"/>
                <w:caps w:val="0"/>
                <w:spacing w:val="0"/>
                <w:sz w:val="21"/>
                <w:szCs w:val="21"/>
                <w:shd w:val="clear" w:fill="FFFFFF"/>
              </w:rPr>
              <w:t>，环比增幅分别为233.33%、2103.72%、2207.81%。其中，出让面积、金额呈量级增加，夷陵东城实验区两宗商住用地起始楼面价均达到2500元/㎡，加价幅度则高达500万元。</w:t>
            </w:r>
          </w:p>
          <w:tbl>
            <w:tblPr>
              <w:tblStyle w:val="4"/>
              <w:tblW w:w="8203" w:type="dxa"/>
              <w:tblInd w:w="83" w:type="dxa"/>
              <w:shd w:val="clear" w:color="auto" w:fill="auto"/>
              <w:tblLayout w:type="fixed"/>
              <w:tblCellMar>
                <w:top w:w="15" w:type="dxa"/>
                <w:left w:w="15" w:type="dxa"/>
                <w:bottom w:w="15" w:type="dxa"/>
                <w:right w:w="15" w:type="dxa"/>
              </w:tblCellMar>
            </w:tblPr>
            <w:tblGrid>
              <w:gridCol w:w="1423"/>
              <w:gridCol w:w="2220"/>
              <w:gridCol w:w="2220"/>
              <w:gridCol w:w="2340"/>
            </w:tblGrid>
            <w:tr>
              <w:tblPrEx>
                <w:tblCellMar>
                  <w:top w:w="15" w:type="dxa"/>
                  <w:left w:w="15" w:type="dxa"/>
                  <w:bottom w:w="15" w:type="dxa"/>
                  <w:right w:w="15" w:type="dxa"/>
                </w:tblCellMar>
              </w:tblPrEx>
              <w:trPr>
                <w:trHeight w:val="301" w:hRule="atLeast"/>
              </w:trPr>
              <w:tc>
                <w:tcPr>
                  <w:tcW w:w="8203" w:type="dxa"/>
                  <w:gridSpan w:val="4"/>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2018年11月宜昌土地供应环比变化情况</w:t>
                  </w:r>
                </w:p>
              </w:tc>
            </w:tr>
            <w:tr>
              <w:tblPrEx>
                <w:tblCellMar>
                  <w:top w:w="15" w:type="dxa"/>
                  <w:left w:w="15" w:type="dxa"/>
                  <w:bottom w:w="15" w:type="dxa"/>
                  <w:right w:w="15" w:type="dxa"/>
                </w:tblCellMar>
              </w:tblPrEx>
              <w:trPr>
                <w:trHeight w:val="390" w:hRule="atLeast"/>
              </w:trPr>
              <w:tc>
                <w:tcPr>
                  <w:tcW w:w="1423"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土地出让数量（幅）</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土地出让面积（幅）</w:t>
                  </w:r>
                </w:p>
              </w:tc>
              <w:tc>
                <w:tcPr>
                  <w:tcW w:w="234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土地起始价（万元）</w:t>
                  </w:r>
                </w:p>
              </w:tc>
            </w:tr>
            <w:tr>
              <w:tblPrEx>
                <w:tblCellMar>
                  <w:top w:w="15" w:type="dxa"/>
                  <w:left w:w="15" w:type="dxa"/>
                  <w:bottom w:w="15" w:type="dxa"/>
                  <w:right w:w="15" w:type="dxa"/>
                </w:tblCellMar>
              </w:tblPrEx>
              <w:trPr>
                <w:trHeight w:val="420" w:hRule="atLeast"/>
              </w:trPr>
              <w:tc>
                <w:tcPr>
                  <w:tcW w:w="14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221632.47</w:t>
                  </w:r>
                </w:p>
              </w:tc>
              <w:tc>
                <w:tcPr>
                  <w:tcW w:w="2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60834</w:t>
                  </w:r>
                </w:p>
              </w:tc>
            </w:tr>
            <w:tr>
              <w:tblPrEx>
                <w:tblCellMar>
                  <w:top w:w="15" w:type="dxa"/>
                  <w:left w:w="15" w:type="dxa"/>
                  <w:bottom w:w="15" w:type="dxa"/>
                  <w:right w:w="15" w:type="dxa"/>
                </w:tblCellMar>
              </w:tblPrEx>
              <w:trPr>
                <w:trHeight w:val="420" w:hRule="atLeast"/>
              </w:trPr>
              <w:tc>
                <w:tcPr>
                  <w:tcW w:w="14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2018年10月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10057.2</w:t>
                  </w:r>
                </w:p>
              </w:tc>
              <w:tc>
                <w:tcPr>
                  <w:tcW w:w="2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2636</w:t>
                  </w:r>
                </w:p>
              </w:tc>
            </w:tr>
            <w:tr>
              <w:tblPrEx>
                <w:shd w:val="clear" w:color="auto" w:fill="auto"/>
                <w:tblCellMar>
                  <w:top w:w="15" w:type="dxa"/>
                  <w:left w:w="15" w:type="dxa"/>
                  <w:bottom w:w="15" w:type="dxa"/>
                  <w:right w:w="15" w:type="dxa"/>
                </w:tblCellMar>
              </w:tblPrEx>
              <w:trPr>
                <w:trHeight w:val="330" w:hRule="atLeast"/>
              </w:trPr>
              <w:tc>
                <w:tcPr>
                  <w:tcW w:w="14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环比增幅</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233.33%</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2103.72%</w:t>
                  </w:r>
                </w:p>
              </w:tc>
              <w:tc>
                <w:tcPr>
                  <w:tcW w:w="2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2207.81%</w:t>
                  </w:r>
                </w:p>
              </w:tc>
            </w:tr>
          </w:tbl>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b/>
                <w:caps w:val="0"/>
                <w:spacing w:val="0"/>
                <w:kern w:val="0"/>
                <w:sz w:val="21"/>
                <w:szCs w:val="21"/>
                <w:shd w:val="clear" w:fill="FFFFFF"/>
                <w:lang w:val="en-US" w:eastAsia="zh-CN" w:bidi="ar"/>
              </w:rPr>
              <w:t>11月土地出让数量、出让面积、最低起始价同比呈增加趋势，</w:t>
            </w:r>
            <w:r>
              <w:rPr>
                <w:rFonts w:hint="eastAsia" w:ascii="微软雅黑" w:hAnsi="微软雅黑" w:eastAsia="微软雅黑" w:cs="微软雅黑"/>
                <w:caps w:val="0"/>
                <w:spacing w:val="0"/>
                <w:kern w:val="0"/>
                <w:sz w:val="21"/>
                <w:szCs w:val="21"/>
                <w:shd w:val="clear" w:fill="FFFFFF"/>
                <w:lang w:val="en-US" w:eastAsia="zh-CN" w:bidi="ar"/>
              </w:rPr>
              <w:t>同比增幅分别为150.00%、63.26%、71.22%。</w:t>
            </w:r>
          </w:p>
          <w:tbl>
            <w:tblPr>
              <w:tblStyle w:val="4"/>
              <w:tblW w:w="8203" w:type="dxa"/>
              <w:tblInd w:w="83" w:type="dxa"/>
              <w:shd w:val="clear" w:color="auto" w:fill="auto"/>
              <w:tblLayout w:type="fixed"/>
              <w:tblCellMar>
                <w:top w:w="15" w:type="dxa"/>
                <w:left w:w="15" w:type="dxa"/>
                <w:bottom w:w="15" w:type="dxa"/>
                <w:right w:w="15" w:type="dxa"/>
              </w:tblCellMar>
            </w:tblPr>
            <w:tblGrid>
              <w:gridCol w:w="1438"/>
              <w:gridCol w:w="2220"/>
              <w:gridCol w:w="2220"/>
              <w:gridCol w:w="2325"/>
            </w:tblGrid>
            <w:tr>
              <w:tblPrEx>
                <w:shd w:val="clear" w:color="auto" w:fill="auto"/>
                <w:tblCellMar>
                  <w:top w:w="15" w:type="dxa"/>
                  <w:left w:w="15" w:type="dxa"/>
                  <w:bottom w:w="15" w:type="dxa"/>
                  <w:right w:w="15" w:type="dxa"/>
                </w:tblCellMar>
              </w:tblPrEx>
              <w:trPr>
                <w:trHeight w:val="301" w:hRule="atLeast"/>
              </w:trPr>
              <w:tc>
                <w:tcPr>
                  <w:tcW w:w="8203" w:type="dxa"/>
                  <w:gridSpan w:val="4"/>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2018年11月宜昌土地供应同比变化情况</w:t>
                  </w:r>
                </w:p>
              </w:tc>
            </w:tr>
            <w:tr>
              <w:tblPrEx>
                <w:shd w:val="clear" w:color="auto" w:fill="auto"/>
                <w:tblCellMar>
                  <w:top w:w="15" w:type="dxa"/>
                  <w:left w:w="15" w:type="dxa"/>
                  <w:bottom w:w="15" w:type="dxa"/>
                  <w:right w:w="15" w:type="dxa"/>
                </w:tblCellMar>
              </w:tblPrEx>
              <w:trPr>
                <w:trHeight w:val="415" w:hRule="atLeast"/>
              </w:trPr>
              <w:tc>
                <w:tcPr>
                  <w:tcW w:w="1438"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土地出让数量（幅）</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土地出让面积（幅）</w:t>
                  </w:r>
                </w:p>
              </w:tc>
              <w:tc>
                <w:tcPr>
                  <w:tcW w:w="232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土地起始价（万元）</w:t>
                  </w:r>
                </w:p>
              </w:tc>
            </w:tr>
            <w:tr>
              <w:tblPrEx>
                <w:shd w:val="clear" w:color="auto" w:fill="auto"/>
                <w:tblCellMar>
                  <w:top w:w="15" w:type="dxa"/>
                  <w:left w:w="15" w:type="dxa"/>
                  <w:bottom w:w="15" w:type="dxa"/>
                  <w:right w:w="15" w:type="dxa"/>
                </w:tblCellMar>
              </w:tblPrEx>
              <w:trPr>
                <w:trHeight w:val="420" w:hRule="atLeast"/>
              </w:trPr>
              <w:tc>
                <w:tcPr>
                  <w:tcW w:w="14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221632.47</w:t>
                  </w:r>
                </w:p>
              </w:tc>
              <w:tc>
                <w:tcPr>
                  <w:tcW w:w="23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60834</w:t>
                  </w:r>
                </w:p>
              </w:tc>
            </w:tr>
            <w:tr>
              <w:tblPrEx>
                <w:shd w:val="clear" w:color="auto" w:fill="auto"/>
                <w:tblCellMar>
                  <w:top w:w="15" w:type="dxa"/>
                  <w:left w:w="15" w:type="dxa"/>
                  <w:bottom w:w="15" w:type="dxa"/>
                  <w:right w:w="15" w:type="dxa"/>
                </w:tblCellMar>
              </w:tblPrEx>
              <w:trPr>
                <w:trHeight w:val="420" w:hRule="atLeast"/>
              </w:trPr>
              <w:tc>
                <w:tcPr>
                  <w:tcW w:w="14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2017年11月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135753.79</w:t>
                  </w:r>
                </w:p>
              </w:tc>
              <w:tc>
                <w:tcPr>
                  <w:tcW w:w="23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35530</w:t>
                  </w:r>
                </w:p>
              </w:tc>
            </w:tr>
            <w:tr>
              <w:tblPrEx>
                <w:shd w:val="clear" w:color="auto" w:fill="auto"/>
                <w:tblCellMar>
                  <w:top w:w="15" w:type="dxa"/>
                  <w:left w:w="15" w:type="dxa"/>
                  <w:bottom w:w="15" w:type="dxa"/>
                  <w:right w:w="15" w:type="dxa"/>
                </w:tblCellMar>
              </w:tblPrEx>
              <w:trPr>
                <w:trHeight w:val="330" w:hRule="atLeast"/>
              </w:trPr>
              <w:tc>
                <w:tcPr>
                  <w:tcW w:w="14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同比增幅</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150.00%</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63.26%</w:t>
                  </w:r>
                </w:p>
              </w:tc>
              <w:tc>
                <w:tcPr>
                  <w:tcW w:w="23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71.22%</w:t>
                  </w:r>
                </w:p>
              </w:tc>
            </w:tr>
          </w:tbl>
          <w:p>
            <w:pPr>
              <w:keepNext w:val="0"/>
              <w:keepLines w:val="0"/>
              <w:widowControl/>
              <w:suppressLineNumbers w:val="0"/>
              <w:spacing w:before="0" w:beforeAutospacing="1" w:after="0" w:afterAutospacing="1" w:line="24" w:lineRule="atLeast"/>
              <w:ind w:left="0" w:right="0" w:firstLine="532"/>
              <w:jc w:val="left"/>
            </w:pPr>
            <w:r>
              <w:rPr>
                <w:rFonts w:hint="eastAsia" w:ascii="微软雅黑" w:hAnsi="微软雅黑" w:eastAsia="微软雅黑" w:cs="微软雅黑"/>
                <w:b w:val="0"/>
                <w:i w:val="0"/>
                <w:caps w:val="0"/>
                <w:color w:val="3F3F3F"/>
                <w:spacing w:val="23"/>
                <w:kern w:val="0"/>
                <w:sz w:val="22"/>
                <w:szCs w:val="22"/>
                <w:shd w:val="clear" w:fill="FFFFFF"/>
                <w:lang w:val="en-US" w:eastAsia="zh-CN" w:bidi="ar"/>
              </w:rPr>
              <w:t> </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三、11月土地成交情况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68" w:lineRule="atLeast"/>
              <w:ind w:left="150" w:right="150" w:firstLine="420"/>
              <w:jc w:val="both"/>
            </w:pPr>
            <w:r>
              <w:rPr>
                <w:rFonts w:hint="eastAsia" w:ascii="微软雅黑" w:hAnsi="微软雅黑" w:eastAsia="微软雅黑" w:cs="微软雅黑"/>
                <w:b/>
                <w:i w:val="0"/>
                <w:caps w:val="0"/>
                <w:spacing w:val="0"/>
                <w:sz w:val="21"/>
                <w:szCs w:val="21"/>
                <w:shd w:val="clear" w:fill="FFFFFF"/>
              </w:rPr>
              <w:t>11月宜昌土地成交3宗，总成交面积10057.2㎡，成交金额约2692万元</w:t>
            </w:r>
            <w:r>
              <w:rPr>
                <w:rFonts w:hint="eastAsia" w:ascii="微软雅黑" w:hAnsi="微软雅黑" w:eastAsia="微软雅黑" w:cs="微软雅黑"/>
                <w:caps w:val="0"/>
                <w:spacing w:val="0"/>
                <w:sz w:val="21"/>
                <w:szCs w:val="21"/>
                <w:shd w:val="clear" w:fill="FFFFFF"/>
              </w:rPr>
              <w:t>。</w:t>
            </w:r>
            <w:r>
              <w:rPr>
                <w:rFonts w:hint="eastAsia" w:ascii="微软雅黑" w:hAnsi="微软雅黑" w:eastAsia="微软雅黑" w:cs="微软雅黑"/>
                <w:b/>
                <w:caps w:val="0"/>
                <w:spacing w:val="0"/>
                <w:sz w:val="21"/>
                <w:szCs w:val="21"/>
                <w:shd w:val="clear" w:fill="FFFFFF"/>
              </w:rPr>
              <w:t>环比、同比成交金额双减</w:t>
            </w:r>
            <w:r>
              <w:rPr>
                <w:rFonts w:hint="eastAsia" w:ascii="微软雅黑" w:hAnsi="微软雅黑" w:eastAsia="微软雅黑" w:cs="微软雅黑"/>
                <w:caps w:val="0"/>
                <w:spacing w:val="0"/>
                <w:sz w:val="21"/>
                <w:szCs w:val="21"/>
                <w:shd w:val="clear" w:fill="FFFFFF"/>
              </w:rPr>
              <w:t>。从区域来看，11月宜昌成交全部集中在夷陵区，与10月供地保持高度一致。从土地用途来看，3宗土地交易中，分别完成港口码头用地交易1宗、商业用地交易1宗和住宅用地交易1宗。从数据上来看，11月整体成交的溢价率都不高，均在5%以下。</w:t>
            </w:r>
          </w:p>
          <w:tbl>
            <w:tblPr>
              <w:tblStyle w:val="4"/>
              <w:tblW w:w="8308" w:type="dxa"/>
              <w:tblInd w:w="83" w:type="dxa"/>
              <w:shd w:val="clear" w:color="auto" w:fill="auto"/>
              <w:tblLayout w:type="fixed"/>
              <w:tblCellMar>
                <w:top w:w="15" w:type="dxa"/>
                <w:left w:w="15" w:type="dxa"/>
                <w:bottom w:w="15" w:type="dxa"/>
                <w:right w:w="15" w:type="dxa"/>
              </w:tblCellMar>
            </w:tblPr>
            <w:tblGrid>
              <w:gridCol w:w="754"/>
              <w:gridCol w:w="1127"/>
              <w:gridCol w:w="1392"/>
              <w:gridCol w:w="818"/>
              <w:gridCol w:w="979"/>
              <w:gridCol w:w="1333"/>
              <w:gridCol w:w="975"/>
              <w:gridCol w:w="930"/>
            </w:tblGrid>
            <w:tr>
              <w:tblPrEx>
                <w:tblCellMar>
                  <w:top w:w="15" w:type="dxa"/>
                  <w:left w:w="15" w:type="dxa"/>
                  <w:bottom w:w="15" w:type="dxa"/>
                  <w:right w:w="15" w:type="dxa"/>
                </w:tblCellMar>
              </w:tblPrEx>
              <w:trPr>
                <w:trHeight w:val="360" w:hRule="atLeast"/>
              </w:trPr>
              <w:tc>
                <w:tcPr>
                  <w:tcW w:w="8308" w:type="dxa"/>
                  <w:gridSpan w:val="8"/>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21"/>
                      <w:szCs w:val="21"/>
                      <w:lang w:val="en-US" w:eastAsia="zh-CN" w:bidi="ar"/>
                    </w:rPr>
                    <w:t>11月宜昌土地成交</w:t>
                  </w:r>
                </w:p>
              </w:tc>
            </w:tr>
            <w:tr>
              <w:tblPrEx>
                <w:tblCellMar>
                  <w:top w:w="15" w:type="dxa"/>
                  <w:left w:w="15" w:type="dxa"/>
                  <w:bottom w:w="15" w:type="dxa"/>
                  <w:right w:w="15" w:type="dxa"/>
                </w:tblCellMar>
              </w:tblPrEx>
              <w:trPr>
                <w:trHeight w:val="660" w:hRule="atLeast"/>
              </w:trPr>
              <w:tc>
                <w:tcPr>
                  <w:tcW w:w="754"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序号</w:t>
                  </w:r>
                </w:p>
              </w:tc>
              <w:tc>
                <w:tcPr>
                  <w:tcW w:w="1127"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地块编号</w:t>
                  </w:r>
                </w:p>
              </w:tc>
              <w:tc>
                <w:tcPr>
                  <w:tcW w:w="1392"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地块位置</w:t>
                  </w:r>
                </w:p>
              </w:tc>
              <w:tc>
                <w:tcPr>
                  <w:tcW w:w="818"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出让用途</w:t>
                  </w:r>
                </w:p>
              </w:tc>
              <w:tc>
                <w:tcPr>
                  <w:tcW w:w="979"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土地面积(㎡）</w:t>
                  </w:r>
                </w:p>
              </w:tc>
              <w:tc>
                <w:tcPr>
                  <w:tcW w:w="1333"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竞得人</w:t>
                  </w:r>
                </w:p>
              </w:tc>
              <w:tc>
                <w:tcPr>
                  <w:tcW w:w="97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成交价格（万元）</w:t>
                  </w:r>
                </w:p>
              </w:tc>
              <w:tc>
                <w:tcPr>
                  <w:tcW w:w="93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溢价率</w:t>
                  </w:r>
                </w:p>
              </w:tc>
            </w:tr>
            <w:tr>
              <w:tblPrEx>
                <w:tblCellMar>
                  <w:top w:w="15" w:type="dxa"/>
                  <w:left w:w="15" w:type="dxa"/>
                  <w:bottom w:w="15" w:type="dxa"/>
                  <w:right w:w="15" w:type="dxa"/>
                </w:tblCellMar>
              </w:tblPrEx>
              <w:trPr>
                <w:trHeight w:val="660" w:hRule="atLeast"/>
              </w:trPr>
              <w:tc>
                <w:tcPr>
                  <w:tcW w:w="7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w:t>
                  </w:r>
                </w:p>
              </w:tc>
              <w:tc>
                <w:tcPr>
                  <w:tcW w:w="11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夷G[2018]28号</w:t>
                  </w:r>
                </w:p>
              </w:tc>
              <w:tc>
                <w:tcPr>
                  <w:tcW w:w="139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三斗坪镇园艺村</w:t>
                  </w:r>
                </w:p>
              </w:tc>
              <w:tc>
                <w:tcPr>
                  <w:tcW w:w="8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港口码头</w:t>
                  </w:r>
                </w:p>
              </w:tc>
              <w:tc>
                <w:tcPr>
                  <w:tcW w:w="9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4047.3</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湖北盛投生态食品开发有限公司</w:t>
                  </w:r>
                </w:p>
              </w:tc>
              <w:tc>
                <w:tcPr>
                  <w:tcW w:w="9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163</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20"/>
                      <w:szCs w:val="20"/>
                      <w:lang w:val="en-US" w:eastAsia="zh-CN" w:bidi="ar"/>
                    </w:rPr>
                    <w:t>3.16%</w:t>
                  </w:r>
                </w:p>
              </w:tc>
            </w:tr>
            <w:tr>
              <w:tblPrEx>
                <w:tblCellMar>
                  <w:top w:w="15" w:type="dxa"/>
                  <w:left w:w="15" w:type="dxa"/>
                  <w:bottom w:w="15" w:type="dxa"/>
                  <w:right w:w="15" w:type="dxa"/>
                </w:tblCellMar>
              </w:tblPrEx>
              <w:trPr>
                <w:trHeight w:val="660" w:hRule="atLeast"/>
              </w:trPr>
              <w:tc>
                <w:tcPr>
                  <w:tcW w:w="7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w:t>
                  </w:r>
                </w:p>
              </w:tc>
              <w:tc>
                <w:tcPr>
                  <w:tcW w:w="11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夷G[2018]29号</w:t>
                  </w:r>
                </w:p>
              </w:tc>
              <w:tc>
                <w:tcPr>
                  <w:tcW w:w="139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鸦鹊岭镇梅林村</w:t>
                  </w:r>
                </w:p>
              </w:tc>
              <w:tc>
                <w:tcPr>
                  <w:tcW w:w="8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商业</w:t>
                  </w:r>
                </w:p>
              </w:tc>
              <w:tc>
                <w:tcPr>
                  <w:tcW w:w="9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1056.01</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湖北盛投数码照明有限公司</w:t>
                  </w:r>
                </w:p>
              </w:tc>
              <w:tc>
                <w:tcPr>
                  <w:tcW w:w="9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86</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20"/>
                      <w:szCs w:val="20"/>
                      <w:lang w:val="en-US" w:eastAsia="zh-CN" w:bidi="ar"/>
                    </w:rPr>
                    <w:t>1.18%</w:t>
                  </w:r>
                </w:p>
              </w:tc>
            </w:tr>
            <w:tr>
              <w:tblPrEx>
                <w:tblCellMar>
                  <w:top w:w="15" w:type="dxa"/>
                  <w:left w:w="15" w:type="dxa"/>
                  <w:bottom w:w="15" w:type="dxa"/>
                  <w:right w:w="15" w:type="dxa"/>
                </w:tblCellMar>
              </w:tblPrEx>
              <w:trPr>
                <w:trHeight w:val="660" w:hRule="atLeast"/>
              </w:trPr>
              <w:tc>
                <w:tcPr>
                  <w:tcW w:w="7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10</w:t>
                  </w:r>
                </w:p>
              </w:tc>
              <w:tc>
                <w:tcPr>
                  <w:tcW w:w="11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夷G[2018]30号</w:t>
                  </w:r>
                </w:p>
              </w:tc>
              <w:tc>
                <w:tcPr>
                  <w:tcW w:w="139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东城实验区梅子垭村</w:t>
                  </w:r>
                </w:p>
              </w:tc>
              <w:tc>
                <w:tcPr>
                  <w:tcW w:w="81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住宅</w:t>
                  </w:r>
                </w:p>
              </w:tc>
              <w:tc>
                <w:tcPr>
                  <w:tcW w:w="9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4953.89</w:t>
                  </w:r>
                </w:p>
              </w:tc>
              <w:tc>
                <w:tcPr>
                  <w:tcW w:w="133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湖北荣鼎新型建材有限公司</w:t>
                  </w:r>
                </w:p>
              </w:tc>
              <w:tc>
                <w:tcPr>
                  <w:tcW w:w="9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2443</w:t>
                  </w:r>
                </w:p>
              </w:tc>
              <w:tc>
                <w:tcPr>
                  <w:tcW w:w="9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20"/>
                      <w:szCs w:val="20"/>
                      <w:lang w:val="en-US" w:eastAsia="zh-CN" w:bidi="ar"/>
                    </w:rPr>
                    <w:t>2.09%</w:t>
                  </w:r>
                </w:p>
              </w:tc>
            </w:tr>
          </w:tbl>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b/>
                <w:caps w:val="0"/>
                <w:spacing w:val="0"/>
                <w:kern w:val="0"/>
                <w:sz w:val="21"/>
                <w:szCs w:val="21"/>
                <w:shd w:val="clear" w:fill="FFFFFF"/>
                <w:lang w:val="en-US" w:eastAsia="zh-CN" w:bidi="ar"/>
              </w:rPr>
              <w:t>11月土地成交数量、成交面积、成交金额均大幅下降</w:t>
            </w:r>
            <w:r>
              <w:rPr>
                <w:rFonts w:hint="eastAsia" w:ascii="微软雅黑" w:hAnsi="微软雅黑" w:eastAsia="微软雅黑" w:cs="微软雅黑"/>
                <w:caps w:val="0"/>
                <w:spacing w:val="0"/>
                <w:kern w:val="0"/>
                <w:sz w:val="21"/>
                <w:szCs w:val="21"/>
                <w:shd w:val="clear" w:fill="FFFFFF"/>
                <w:lang w:val="en-US" w:eastAsia="zh-CN" w:bidi="ar"/>
              </w:rPr>
              <w:t>，环比降幅分别为57.14%、96.79%、92.29%。</w:t>
            </w:r>
          </w:p>
          <w:tbl>
            <w:tblPr>
              <w:tblStyle w:val="4"/>
              <w:tblW w:w="8203" w:type="dxa"/>
              <w:tblInd w:w="83" w:type="dxa"/>
              <w:shd w:val="clear" w:color="auto" w:fill="auto"/>
              <w:tblLayout w:type="fixed"/>
              <w:tblCellMar>
                <w:top w:w="15" w:type="dxa"/>
                <w:left w:w="15" w:type="dxa"/>
                <w:bottom w:w="15" w:type="dxa"/>
                <w:right w:w="15" w:type="dxa"/>
              </w:tblCellMar>
            </w:tblPr>
            <w:tblGrid>
              <w:gridCol w:w="1423"/>
              <w:gridCol w:w="2220"/>
              <w:gridCol w:w="2220"/>
              <w:gridCol w:w="2340"/>
            </w:tblGrid>
            <w:tr>
              <w:tblPrEx>
                <w:shd w:val="clear" w:color="auto" w:fill="auto"/>
                <w:tblCellMar>
                  <w:top w:w="15" w:type="dxa"/>
                  <w:left w:w="15" w:type="dxa"/>
                  <w:bottom w:w="15" w:type="dxa"/>
                  <w:right w:w="15" w:type="dxa"/>
                </w:tblCellMar>
              </w:tblPrEx>
              <w:trPr>
                <w:trHeight w:val="301" w:hRule="atLeast"/>
              </w:trPr>
              <w:tc>
                <w:tcPr>
                  <w:tcW w:w="8203" w:type="dxa"/>
                  <w:gridSpan w:val="4"/>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2018年11月宜昌土地成交环比变化情况</w:t>
                  </w:r>
                </w:p>
              </w:tc>
            </w:tr>
            <w:tr>
              <w:tblPrEx>
                <w:shd w:val="clear" w:color="auto" w:fill="auto"/>
                <w:tblCellMar>
                  <w:top w:w="15" w:type="dxa"/>
                  <w:left w:w="15" w:type="dxa"/>
                  <w:bottom w:w="15" w:type="dxa"/>
                  <w:right w:w="15" w:type="dxa"/>
                </w:tblCellMar>
              </w:tblPrEx>
              <w:trPr>
                <w:trHeight w:val="390" w:hRule="atLeast"/>
              </w:trPr>
              <w:tc>
                <w:tcPr>
                  <w:tcW w:w="1423"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土地出让数量（幅）</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土地出让面积（幅）</w:t>
                  </w:r>
                </w:p>
              </w:tc>
              <w:tc>
                <w:tcPr>
                  <w:tcW w:w="234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土地起始价（万元）</w:t>
                  </w:r>
                </w:p>
              </w:tc>
            </w:tr>
            <w:tr>
              <w:tblPrEx>
                <w:shd w:val="clear" w:color="auto" w:fill="auto"/>
                <w:tblCellMar>
                  <w:top w:w="15" w:type="dxa"/>
                  <w:left w:w="15" w:type="dxa"/>
                  <w:bottom w:w="15" w:type="dxa"/>
                  <w:right w:w="15" w:type="dxa"/>
                </w:tblCellMar>
              </w:tblPrEx>
              <w:trPr>
                <w:trHeight w:val="420" w:hRule="atLeast"/>
              </w:trPr>
              <w:tc>
                <w:tcPr>
                  <w:tcW w:w="14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10057.2</w:t>
                  </w:r>
                </w:p>
              </w:tc>
              <w:tc>
                <w:tcPr>
                  <w:tcW w:w="2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2692</w:t>
                  </w:r>
                </w:p>
              </w:tc>
            </w:tr>
            <w:tr>
              <w:tblPrEx>
                <w:shd w:val="clear" w:color="auto" w:fill="auto"/>
                <w:tblCellMar>
                  <w:top w:w="15" w:type="dxa"/>
                  <w:left w:w="15" w:type="dxa"/>
                  <w:bottom w:w="15" w:type="dxa"/>
                  <w:right w:w="15" w:type="dxa"/>
                </w:tblCellMar>
              </w:tblPrEx>
              <w:trPr>
                <w:trHeight w:val="420" w:hRule="atLeast"/>
              </w:trPr>
              <w:tc>
                <w:tcPr>
                  <w:tcW w:w="14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2018年10月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312966.04</w:t>
                  </w:r>
                </w:p>
              </w:tc>
              <w:tc>
                <w:tcPr>
                  <w:tcW w:w="2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34904</w:t>
                  </w:r>
                </w:p>
              </w:tc>
            </w:tr>
            <w:tr>
              <w:tblPrEx>
                <w:shd w:val="clear" w:color="auto" w:fill="auto"/>
                <w:tblCellMar>
                  <w:top w:w="15" w:type="dxa"/>
                  <w:left w:w="15" w:type="dxa"/>
                  <w:bottom w:w="15" w:type="dxa"/>
                  <w:right w:w="15" w:type="dxa"/>
                </w:tblCellMar>
              </w:tblPrEx>
              <w:trPr>
                <w:trHeight w:val="330" w:hRule="atLeast"/>
              </w:trPr>
              <w:tc>
                <w:tcPr>
                  <w:tcW w:w="14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环比增幅</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-57.14%</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-96.79%</w:t>
                  </w:r>
                </w:p>
              </w:tc>
              <w:tc>
                <w:tcPr>
                  <w:tcW w:w="2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-92.29%</w:t>
                  </w:r>
                </w:p>
              </w:tc>
            </w:tr>
          </w:tbl>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受10月供地影响，2018年</w:t>
            </w:r>
            <w:r>
              <w:rPr>
                <w:rFonts w:hint="eastAsia" w:ascii="微软雅黑" w:hAnsi="微软雅黑" w:eastAsia="微软雅黑" w:cs="微软雅黑"/>
                <w:b/>
                <w:caps w:val="0"/>
                <w:spacing w:val="0"/>
                <w:kern w:val="0"/>
                <w:sz w:val="21"/>
                <w:szCs w:val="21"/>
                <w:shd w:val="clear" w:fill="FFFFFF"/>
                <w:lang w:val="en-US" w:eastAsia="zh-CN" w:bidi="ar"/>
              </w:rPr>
              <w:t>11月宜昌土地成交数量、成交面积、成交金额全部下跌</w:t>
            </w:r>
            <w:r>
              <w:rPr>
                <w:rFonts w:hint="eastAsia" w:ascii="微软雅黑" w:hAnsi="微软雅黑" w:eastAsia="微软雅黑" w:cs="微软雅黑"/>
                <w:caps w:val="0"/>
                <w:spacing w:val="0"/>
                <w:kern w:val="0"/>
                <w:sz w:val="21"/>
                <w:szCs w:val="21"/>
                <w:shd w:val="clear" w:fill="FFFFFF"/>
                <w:lang w:val="en-US" w:eastAsia="zh-CN" w:bidi="ar"/>
              </w:rPr>
              <w:t>，同比降幅分别为57.14%、97.39%和99.22%。</w:t>
            </w:r>
            <w:r>
              <w:rPr>
                <w:rFonts w:hint="eastAsia" w:ascii="微软雅黑" w:hAnsi="微软雅黑" w:eastAsia="微软雅黑" w:cs="微软雅黑"/>
                <w:caps w:val="0"/>
                <w:spacing w:val="0"/>
                <w:kern w:val="0"/>
                <w:sz w:val="24"/>
                <w:szCs w:val="24"/>
                <w:lang w:val="en-US" w:eastAsia="zh-CN" w:bidi="ar"/>
              </w:rPr>
              <w:t>      </w:t>
            </w:r>
          </w:p>
          <w:tbl>
            <w:tblPr>
              <w:tblStyle w:val="4"/>
              <w:tblW w:w="8203" w:type="dxa"/>
              <w:tblInd w:w="83" w:type="dxa"/>
              <w:shd w:val="clear" w:color="auto" w:fill="auto"/>
              <w:tblLayout w:type="fixed"/>
              <w:tblCellMar>
                <w:top w:w="15" w:type="dxa"/>
                <w:left w:w="15" w:type="dxa"/>
                <w:bottom w:w="15" w:type="dxa"/>
                <w:right w:w="15" w:type="dxa"/>
              </w:tblCellMar>
            </w:tblPr>
            <w:tblGrid>
              <w:gridCol w:w="1438"/>
              <w:gridCol w:w="2220"/>
              <w:gridCol w:w="2220"/>
              <w:gridCol w:w="2325"/>
            </w:tblGrid>
            <w:tr>
              <w:tblPrEx>
                <w:shd w:val="clear" w:color="auto" w:fill="auto"/>
                <w:tblCellMar>
                  <w:top w:w="15" w:type="dxa"/>
                  <w:left w:w="15" w:type="dxa"/>
                  <w:bottom w:w="15" w:type="dxa"/>
                  <w:right w:w="15" w:type="dxa"/>
                </w:tblCellMar>
              </w:tblPrEx>
              <w:trPr>
                <w:trHeight w:val="301" w:hRule="atLeast"/>
              </w:trPr>
              <w:tc>
                <w:tcPr>
                  <w:tcW w:w="8203" w:type="dxa"/>
                  <w:gridSpan w:val="4"/>
                  <w:tcBorders>
                    <w:top w:val="single" w:color="000000" w:sz="8" w:space="0"/>
                    <w:left w:val="single" w:color="000000" w:sz="8" w:space="0"/>
                    <w:bottom w:val="single" w:color="000000" w:sz="8" w:space="0"/>
                    <w:right w:val="single" w:color="000000" w:sz="8" w:space="0"/>
                  </w:tcBorders>
                  <w:shd w:val="clear" w:color="auto" w:fill="9CC2E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2018年11月宜昌土地成交同比变化情况</w:t>
                  </w:r>
                </w:p>
              </w:tc>
            </w:tr>
            <w:tr>
              <w:tblPrEx>
                <w:tblCellMar>
                  <w:top w:w="15" w:type="dxa"/>
                  <w:left w:w="15" w:type="dxa"/>
                  <w:bottom w:w="15" w:type="dxa"/>
                  <w:right w:w="15" w:type="dxa"/>
                </w:tblCellMar>
              </w:tblPrEx>
              <w:trPr>
                <w:trHeight w:val="415" w:hRule="atLeast"/>
              </w:trPr>
              <w:tc>
                <w:tcPr>
                  <w:tcW w:w="1438"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土地出让数量（幅）</w:t>
                  </w:r>
                </w:p>
              </w:tc>
              <w:tc>
                <w:tcPr>
                  <w:tcW w:w="22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土地出让面积（幅）</w:t>
                  </w:r>
                </w:p>
              </w:tc>
              <w:tc>
                <w:tcPr>
                  <w:tcW w:w="232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土地起始价（万元）</w:t>
                  </w:r>
                </w:p>
              </w:tc>
            </w:tr>
            <w:tr>
              <w:tblPrEx>
                <w:tblCellMar>
                  <w:top w:w="15" w:type="dxa"/>
                  <w:left w:w="15" w:type="dxa"/>
                  <w:bottom w:w="15" w:type="dxa"/>
                  <w:right w:w="15" w:type="dxa"/>
                </w:tblCellMar>
              </w:tblPrEx>
              <w:trPr>
                <w:trHeight w:val="420" w:hRule="atLeast"/>
              </w:trPr>
              <w:tc>
                <w:tcPr>
                  <w:tcW w:w="14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2018年11月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10057.2</w:t>
                  </w:r>
                </w:p>
              </w:tc>
              <w:tc>
                <w:tcPr>
                  <w:tcW w:w="23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2692</w:t>
                  </w:r>
                </w:p>
              </w:tc>
            </w:tr>
            <w:tr>
              <w:tblPrEx>
                <w:shd w:val="clear" w:color="auto" w:fill="auto"/>
                <w:tblCellMar>
                  <w:top w:w="15" w:type="dxa"/>
                  <w:left w:w="15" w:type="dxa"/>
                  <w:bottom w:w="15" w:type="dxa"/>
                  <w:right w:w="15" w:type="dxa"/>
                </w:tblCellMar>
              </w:tblPrEx>
              <w:trPr>
                <w:trHeight w:val="420" w:hRule="atLeast"/>
              </w:trPr>
              <w:tc>
                <w:tcPr>
                  <w:tcW w:w="14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2017年11月</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385774.26</w:t>
                  </w:r>
                </w:p>
              </w:tc>
              <w:tc>
                <w:tcPr>
                  <w:tcW w:w="23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344763</w:t>
                  </w:r>
                </w:p>
              </w:tc>
            </w:tr>
            <w:tr>
              <w:tblPrEx>
                <w:tblCellMar>
                  <w:top w:w="15" w:type="dxa"/>
                  <w:left w:w="15" w:type="dxa"/>
                  <w:bottom w:w="15" w:type="dxa"/>
                  <w:right w:w="15" w:type="dxa"/>
                </w:tblCellMar>
              </w:tblPrEx>
              <w:trPr>
                <w:trHeight w:val="330" w:hRule="atLeast"/>
              </w:trPr>
              <w:tc>
                <w:tcPr>
                  <w:tcW w:w="143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同比增幅</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-57.14%</w:t>
                  </w:r>
                </w:p>
              </w:tc>
              <w:tc>
                <w:tcPr>
                  <w:tcW w:w="22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-97.39%</w:t>
                  </w:r>
                </w:p>
              </w:tc>
              <w:tc>
                <w:tcPr>
                  <w:tcW w:w="23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-99.22%</w:t>
                  </w:r>
                </w:p>
              </w:tc>
            </w:tr>
          </w:tbl>
          <w:p>
            <w:pPr>
              <w:keepNext w:val="0"/>
              <w:keepLines w:val="0"/>
              <w:widowControl/>
              <w:suppressLineNumbers w:val="0"/>
              <w:spacing w:before="0" w:beforeAutospacing="1" w:after="0" w:afterAutospacing="1" w:line="216" w:lineRule="atLeast"/>
              <w:ind w:left="0" w:right="0"/>
              <w:jc w:val="both"/>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第三部分   楼市现状分析</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一、11月宜昌楼市成交情况</w:t>
            </w:r>
          </w:p>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11月宜昌楼市迎来开盘潮，新开盘以及加推楼盘较10月份有所上升，而房价基本维稳，甚至还略微回落。11月份多盘预售加快，新盘加快入市，冲刺年底业绩，这也导致了市场成交量增幅明显。</w:t>
            </w:r>
          </w:p>
          <w:tbl>
            <w:tblPr>
              <w:tblStyle w:val="4"/>
              <w:tblW w:w="7852" w:type="dxa"/>
              <w:tblInd w:w="120" w:type="dxa"/>
              <w:shd w:val="clear" w:color="auto" w:fill="auto"/>
              <w:tblLayout w:type="fixed"/>
              <w:tblCellMar>
                <w:top w:w="15" w:type="dxa"/>
                <w:left w:w="15" w:type="dxa"/>
                <w:bottom w:w="15" w:type="dxa"/>
                <w:right w:w="15" w:type="dxa"/>
              </w:tblCellMar>
            </w:tblPr>
            <w:tblGrid>
              <w:gridCol w:w="2557"/>
              <w:gridCol w:w="2955"/>
              <w:gridCol w:w="2340"/>
            </w:tblGrid>
            <w:tr>
              <w:tblPrEx>
                <w:shd w:val="clear" w:color="auto" w:fill="auto"/>
                <w:tblCellMar>
                  <w:top w:w="15" w:type="dxa"/>
                  <w:left w:w="15" w:type="dxa"/>
                  <w:bottom w:w="15" w:type="dxa"/>
                  <w:right w:w="15" w:type="dxa"/>
                </w:tblCellMar>
              </w:tblPrEx>
              <w:trPr>
                <w:trHeight w:val="359" w:hRule="atLeast"/>
              </w:trPr>
              <w:tc>
                <w:tcPr>
                  <w:tcW w:w="7852" w:type="dxa"/>
                  <w:gridSpan w:val="3"/>
                  <w:tcBorders>
                    <w:top w:val="single" w:color="000000" w:sz="12" w:space="0"/>
                    <w:left w:val="single" w:color="000000" w:sz="12" w:space="0"/>
                    <w:bottom w:val="single" w:color="000000" w:sz="8" w:space="0"/>
                    <w:right w:val="single" w:color="000000" w:sz="12" w:space="0"/>
                  </w:tcBorders>
                  <w:shd w:val="clear" w:color="auto" w:fill="5B9BD5"/>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11月宜昌住宅成交量</w:t>
                  </w:r>
                </w:p>
              </w:tc>
            </w:tr>
            <w:tr>
              <w:tblPrEx>
                <w:tblCellMar>
                  <w:top w:w="15" w:type="dxa"/>
                  <w:left w:w="15" w:type="dxa"/>
                  <w:bottom w:w="15" w:type="dxa"/>
                  <w:right w:w="15" w:type="dxa"/>
                </w:tblCellMar>
              </w:tblPrEx>
              <w:trPr>
                <w:trHeight w:val="301" w:hRule="atLeast"/>
              </w:trPr>
              <w:tc>
                <w:tcPr>
                  <w:tcW w:w="2557" w:type="dxa"/>
                  <w:tcBorders>
                    <w:top w:val="nil"/>
                    <w:left w:val="single" w:color="000000" w:sz="12"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区域</w:t>
                  </w:r>
                </w:p>
              </w:tc>
              <w:tc>
                <w:tcPr>
                  <w:tcW w:w="295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成交套数（套）</w:t>
                  </w:r>
                </w:p>
              </w:tc>
              <w:tc>
                <w:tcPr>
                  <w:tcW w:w="2340" w:type="dxa"/>
                  <w:tcBorders>
                    <w:top w:val="single" w:color="000000" w:sz="8" w:space="0"/>
                    <w:left w:val="nil"/>
                    <w:bottom w:val="single" w:color="000000" w:sz="8" w:space="0"/>
                    <w:right w:val="single" w:color="000000" w:sz="12"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成交面积（</w:t>
                  </w:r>
                  <w:r>
                    <w:rPr>
                      <w:rFonts w:hint="eastAsia" w:ascii="宋体" w:hAnsi="宋体" w:eastAsia="宋体" w:cs="宋体"/>
                      <w:b/>
                      <w:color w:val="000000"/>
                      <w:kern w:val="0"/>
                      <w:sz w:val="18"/>
                      <w:szCs w:val="18"/>
                      <w:lang w:val="en-US" w:eastAsia="zh-CN" w:bidi="ar"/>
                    </w:rPr>
                    <w:t>㎡</w:t>
                  </w:r>
                  <w:r>
                    <w:rPr>
                      <w:rFonts w:hint="eastAsia" w:ascii="微软雅黑" w:hAnsi="微软雅黑" w:eastAsia="微软雅黑" w:cs="微软雅黑"/>
                      <w:b/>
                      <w:color w:val="000000"/>
                      <w:kern w:val="0"/>
                      <w:sz w:val="18"/>
                      <w:szCs w:val="18"/>
                      <w:lang w:val="en-US" w:eastAsia="zh-CN" w:bidi="ar"/>
                    </w:rPr>
                    <w:t>）</w:t>
                  </w:r>
                </w:p>
              </w:tc>
            </w:tr>
            <w:tr>
              <w:tblPrEx>
                <w:shd w:val="clear" w:color="auto" w:fill="auto"/>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西陵区</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223</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20770.85</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伍家区</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490</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59926.71</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点军区</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149</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22941.66</w:t>
                  </w:r>
                </w:p>
              </w:tc>
            </w:tr>
            <w:tr>
              <w:tblPrEx>
                <w:shd w:val="clear" w:color="auto" w:fill="auto"/>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夷陵区</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478</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57088.89</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猇亭区</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34</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3433.66</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开发区</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78</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8179.9</w:t>
                  </w:r>
                </w:p>
              </w:tc>
            </w:tr>
            <w:tr>
              <w:tblPrEx>
                <w:shd w:val="clear" w:color="auto" w:fill="auto"/>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FF0000"/>
                      <w:kern w:val="0"/>
                      <w:sz w:val="18"/>
                      <w:szCs w:val="18"/>
                      <w:lang w:val="en-US" w:eastAsia="zh-CN" w:bidi="ar"/>
                    </w:rPr>
                    <w:t>总计</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FF0000"/>
                      <w:kern w:val="0"/>
                      <w:sz w:val="18"/>
                      <w:szCs w:val="18"/>
                      <w:lang w:val="en-US" w:eastAsia="zh-CN" w:bidi="ar"/>
                    </w:rPr>
                    <w:t>1452</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FF0000"/>
                      <w:kern w:val="0"/>
                      <w:sz w:val="18"/>
                      <w:szCs w:val="18"/>
                      <w:lang w:val="en-US" w:eastAsia="zh-CN" w:bidi="ar"/>
                    </w:rPr>
                    <w:t>172341.67</w:t>
                  </w:r>
                </w:p>
              </w:tc>
            </w:tr>
            <w:tr>
              <w:tblPrEx>
                <w:shd w:val="clear" w:color="auto" w:fill="auto"/>
                <w:tblCellMar>
                  <w:top w:w="15" w:type="dxa"/>
                  <w:left w:w="15" w:type="dxa"/>
                  <w:bottom w:w="15" w:type="dxa"/>
                  <w:right w:w="15" w:type="dxa"/>
                </w:tblCellMar>
              </w:tblPrEx>
              <w:trPr>
                <w:trHeight w:val="301" w:hRule="atLeast"/>
              </w:trPr>
              <w:tc>
                <w:tcPr>
                  <w:tcW w:w="2557" w:type="dxa"/>
                  <w:tcBorders>
                    <w:top w:val="nil"/>
                    <w:left w:val="single" w:color="000000" w:sz="12"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时间</w:t>
                  </w:r>
                </w:p>
              </w:tc>
              <w:tc>
                <w:tcPr>
                  <w:tcW w:w="2955" w:type="dxa"/>
                  <w:tcBorders>
                    <w:top w:val="nil"/>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成交套数（套）</w:t>
                  </w:r>
                </w:p>
              </w:tc>
              <w:tc>
                <w:tcPr>
                  <w:tcW w:w="2340" w:type="dxa"/>
                  <w:tcBorders>
                    <w:top w:val="nil"/>
                    <w:left w:val="nil"/>
                    <w:bottom w:val="single" w:color="000000" w:sz="8" w:space="0"/>
                    <w:right w:val="single" w:color="000000" w:sz="12"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color w:val="000000"/>
                      <w:kern w:val="0"/>
                      <w:sz w:val="18"/>
                      <w:szCs w:val="18"/>
                      <w:lang w:val="en-US" w:eastAsia="zh-CN" w:bidi="ar"/>
                    </w:rPr>
                    <w:t>成交面积（</w:t>
                  </w:r>
                  <w:r>
                    <w:rPr>
                      <w:rFonts w:hint="eastAsia" w:ascii="宋体" w:hAnsi="宋体" w:eastAsia="宋体" w:cs="宋体"/>
                      <w:b/>
                      <w:color w:val="000000"/>
                      <w:kern w:val="0"/>
                      <w:sz w:val="18"/>
                      <w:szCs w:val="18"/>
                      <w:lang w:val="en-US" w:eastAsia="zh-CN" w:bidi="ar"/>
                    </w:rPr>
                    <w:t>㎡</w:t>
                  </w:r>
                  <w:r>
                    <w:rPr>
                      <w:rFonts w:hint="eastAsia" w:ascii="微软雅黑" w:hAnsi="微软雅黑" w:eastAsia="微软雅黑" w:cs="微软雅黑"/>
                      <w:b/>
                      <w:color w:val="000000"/>
                      <w:kern w:val="0"/>
                      <w:sz w:val="18"/>
                      <w:szCs w:val="18"/>
                      <w:lang w:val="en-US" w:eastAsia="zh-CN" w:bidi="ar"/>
                    </w:rPr>
                    <w:t>）</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2018年10月</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1185</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137778.05</w:t>
                  </w:r>
                </w:p>
              </w:tc>
            </w:tr>
            <w:tr>
              <w:tblPrEx>
                <w:shd w:val="clear" w:color="auto" w:fill="auto"/>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2018年11月</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1452</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172341.67</w:t>
                  </w:r>
                </w:p>
              </w:tc>
            </w:tr>
            <w:tr>
              <w:tblPrEx>
                <w:shd w:val="clear" w:color="auto" w:fill="auto"/>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2017年11月</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3833</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453318.42</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环比</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22.53%</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25.09%</w:t>
                  </w:r>
                </w:p>
              </w:tc>
            </w:tr>
            <w:tr>
              <w:tblPrEx>
                <w:tblCellMar>
                  <w:top w:w="15" w:type="dxa"/>
                  <w:left w:w="15" w:type="dxa"/>
                  <w:bottom w:w="15" w:type="dxa"/>
                  <w:right w:w="15" w:type="dxa"/>
                </w:tblCellMar>
              </w:tblPrEx>
              <w:trPr>
                <w:trHeight w:val="330" w:hRule="atLeast"/>
              </w:trPr>
              <w:tc>
                <w:tcPr>
                  <w:tcW w:w="2557" w:type="dxa"/>
                  <w:tcBorders>
                    <w:top w:val="nil"/>
                    <w:left w:val="single" w:color="000000" w:sz="12"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同比</w:t>
                  </w:r>
                </w:p>
              </w:tc>
              <w:tc>
                <w:tcPr>
                  <w:tcW w:w="295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-62.12%</w:t>
                  </w:r>
                </w:p>
              </w:tc>
              <w:tc>
                <w:tcPr>
                  <w:tcW w:w="2340" w:type="dxa"/>
                  <w:tcBorders>
                    <w:top w:val="nil"/>
                    <w:left w:val="nil"/>
                    <w:bottom w:val="single" w:color="000000" w:sz="8" w:space="0"/>
                    <w:right w:val="single" w:color="000000" w:sz="12"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color w:val="000000"/>
                      <w:kern w:val="0"/>
                      <w:sz w:val="18"/>
                      <w:szCs w:val="18"/>
                      <w:lang w:val="en-US" w:eastAsia="zh-CN" w:bidi="ar"/>
                    </w:rPr>
                    <w:t>-61.98%</w:t>
                  </w:r>
                </w:p>
              </w:tc>
            </w:tr>
          </w:tbl>
          <w:p>
            <w:pPr>
              <w:keepNext w:val="0"/>
              <w:keepLines w:val="0"/>
              <w:widowControl/>
              <w:suppressLineNumbers w:val="0"/>
              <w:spacing w:before="0" w:beforeAutospacing="1" w:after="0" w:afterAutospacing="1" w:line="24" w:lineRule="atLeast"/>
              <w:ind w:left="0" w:right="0" w:firstLine="420"/>
              <w:jc w:val="left"/>
            </w:pPr>
            <w:r>
              <w:rPr>
                <w:rFonts w:hint="eastAsia" w:ascii="微软雅黑" w:hAnsi="微软雅黑" w:eastAsia="微软雅黑" w:cs="微软雅黑"/>
                <w:b/>
                <w:caps w:val="0"/>
                <w:spacing w:val="0"/>
                <w:kern w:val="0"/>
                <w:sz w:val="21"/>
                <w:szCs w:val="21"/>
                <w:shd w:val="clear" w:fill="FFFFFF"/>
                <w:lang w:val="en-US" w:eastAsia="zh-CN" w:bidi="ar"/>
              </w:rPr>
              <w:t>11月宜昌商品房网签总计1452套，成交面积172341.67平米</w:t>
            </w:r>
            <w:r>
              <w:rPr>
                <w:rFonts w:hint="eastAsia" w:ascii="微软雅黑" w:hAnsi="微软雅黑" w:eastAsia="微软雅黑" w:cs="微软雅黑"/>
                <w:caps w:val="0"/>
                <w:spacing w:val="0"/>
                <w:kern w:val="0"/>
                <w:sz w:val="21"/>
                <w:szCs w:val="21"/>
                <w:shd w:val="clear" w:fill="FFFFFF"/>
                <w:lang w:val="en-US" w:eastAsia="zh-CN" w:bidi="ar"/>
              </w:rPr>
              <w:t>。</w:t>
            </w:r>
            <w:r>
              <w:rPr>
                <w:rFonts w:hint="eastAsia" w:ascii="微软雅黑" w:hAnsi="微软雅黑" w:eastAsia="微软雅黑" w:cs="微软雅黑"/>
                <w:b/>
                <w:caps w:val="0"/>
                <w:spacing w:val="0"/>
                <w:kern w:val="0"/>
                <w:sz w:val="21"/>
                <w:szCs w:val="21"/>
                <w:shd w:val="clear" w:fill="FFFFFF"/>
                <w:lang w:val="en-US" w:eastAsia="zh-CN" w:bidi="ar"/>
              </w:rPr>
              <w:t>成交量</w:t>
            </w:r>
            <w:r>
              <w:rPr>
                <w:rFonts w:hint="eastAsia" w:ascii="微软雅黑" w:hAnsi="微软雅黑" w:eastAsia="微软雅黑" w:cs="微软雅黑"/>
                <w:caps w:val="0"/>
                <w:spacing w:val="0"/>
                <w:kern w:val="0"/>
                <w:sz w:val="21"/>
                <w:szCs w:val="21"/>
                <w:shd w:val="clear" w:fill="FFFFFF"/>
                <w:lang w:val="en-US" w:eastAsia="zh-CN" w:bidi="ar"/>
              </w:rPr>
              <w:t>比10月增加267套，</w:t>
            </w:r>
            <w:r>
              <w:rPr>
                <w:rFonts w:hint="eastAsia" w:ascii="微软雅黑" w:hAnsi="微软雅黑" w:eastAsia="微软雅黑" w:cs="微软雅黑"/>
                <w:b/>
                <w:caps w:val="0"/>
                <w:spacing w:val="0"/>
                <w:kern w:val="0"/>
                <w:sz w:val="21"/>
                <w:szCs w:val="21"/>
                <w:shd w:val="clear" w:fill="FFFFFF"/>
                <w:lang w:val="en-US" w:eastAsia="zh-CN" w:bidi="ar"/>
              </w:rPr>
              <w:t>环比上涨22.53%</w:t>
            </w:r>
            <w:r>
              <w:rPr>
                <w:rFonts w:hint="eastAsia" w:ascii="微软雅黑" w:hAnsi="微软雅黑" w:eastAsia="微软雅黑" w:cs="微软雅黑"/>
                <w:caps w:val="0"/>
                <w:spacing w:val="0"/>
                <w:kern w:val="0"/>
                <w:sz w:val="21"/>
                <w:szCs w:val="21"/>
                <w:shd w:val="clear" w:fill="FFFFFF"/>
                <w:lang w:val="en-US" w:eastAsia="zh-CN" w:bidi="ar"/>
              </w:rPr>
              <w:t>，同比去年11月减少2381套，</w:t>
            </w:r>
            <w:r>
              <w:rPr>
                <w:rFonts w:hint="eastAsia" w:ascii="微软雅黑" w:hAnsi="微软雅黑" w:eastAsia="微软雅黑" w:cs="微软雅黑"/>
                <w:b/>
                <w:caps w:val="0"/>
                <w:spacing w:val="0"/>
                <w:kern w:val="0"/>
                <w:sz w:val="21"/>
                <w:szCs w:val="21"/>
                <w:shd w:val="clear" w:fill="FFFFFF"/>
                <w:lang w:val="en-US" w:eastAsia="zh-CN" w:bidi="ar"/>
              </w:rPr>
              <w:t>同比下跌62.12%</w:t>
            </w:r>
            <w:r>
              <w:rPr>
                <w:rFonts w:hint="eastAsia" w:ascii="微软雅黑" w:hAnsi="微软雅黑" w:eastAsia="微软雅黑" w:cs="微软雅黑"/>
                <w:caps w:val="0"/>
                <w:spacing w:val="0"/>
                <w:kern w:val="0"/>
                <w:sz w:val="21"/>
                <w:szCs w:val="21"/>
                <w:shd w:val="clear" w:fill="FFFFFF"/>
                <w:lang w:val="en-US" w:eastAsia="zh-CN" w:bidi="ar"/>
              </w:rPr>
              <w:t>；</w:t>
            </w:r>
            <w:r>
              <w:rPr>
                <w:rFonts w:hint="eastAsia" w:ascii="微软雅黑" w:hAnsi="微软雅黑" w:eastAsia="微软雅黑" w:cs="微软雅黑"/>
                <w:b/>
                <w:caps w:val="0"/>
                <w:spacing w:val="0"/>
                <w:kern w:val="0"/>
                <w:sz w:val="21"/>
                <w:szCs w:val="21"/>
                <w:shd w:val="clear" w:fill="FFFFFF"/>
                <w:lang w:val="en-US" w:eastAsia="zh-CN" w:bidi="ar"/>
              </w:rPr>
              <w:t>成交面积</w:t>
            </w:r>
            <w:r>
              <w:rPr>
                <w:rFonts w:hint="eastAsia" w:ascii="微软雅黑" w:hAnsi="微软雅黑" w:eastAsia="微软雅黑" w:cs="微软雅黑"/>
                <w:caps w:val="0"/>
                <w:spacing w:val="0"/>
                <w:kern w:val="0"/>
                <w:sz w:val="21"/>
                <w:szCs w:val="21"/>
                <w:shd w:val="clear" w:fill="FFFFFF"/>
                <w:lang w:val="en-US" w:eastAsia="zh-CN" w:bidi="ar"/>
              </w:rPr>
              <w:t>环比增加34563.62平米，</w:t>
            </w:r>
            <w:r>
              <w:rPr>
                <w:rFonts w:hint="eastAsia" w:ascii="微软雅黑" w:hAnsi="微软雅黑" w:eastAsia="微软雅黑" w:cs="微软雅黑"/>
                <w:b/>
                <w:caps w:val="0"/>
                <w:spacing w:val="0"/>
                <w:kern w:val="0"/>
                <w:sz w:val="21"/>
                <w:szCs w:val="21"/>
                <w:shd w:val="clear" w:fill="FFFFFF"/>
                <w:lang w:val="en-US" w:eastAsia="zh-CN" w:bidi="ar"/>
              </w:rPr>
              <w:t>环比涨幅25.09%</w:t>
            </w:r>
            <w:r>
              <w:rPr>
                <w:rFonts w:hint="eastAsia" w:ascii="微软雅黑" w:hAnsi="微软雅黑" w:eastAsia="微软雅黑" w:cs="微软雅黑"/>
                <w:caps w:val="0"/>
                <w:spacing w:val="0"/>
                <w:kern w:val="0"/>
                <w:sz w:val="21"/>
                <w:szCs w:val="21"/>
                <w:shd w:val="clear" w:fill="FFFFFF"/>
                <w:lang w:val="en-US" w:eastAsia="zh-CN" w:bidi="ar"/>
              </w:rPr>
              <w:t>，同比减少280976.75平米，</w:t>
            </w:r>
            <w:r>
              <w:rPr>
                <w:rFonts w:hint="eastAsia" w:ascii="微软雅黑" w:hAnsi="微软雅黑" w:eastAsia="微软雅黑" w:cs="微软雅黑"/>
                <w:b/>
                <w:caps w:val="0"/>
                <w:spacing w:val="0"/>
                <w:kern w:val="0"/>
                <w:sz w:val="21"/>
                <w:szCs w:val="21"/>
                <w:shd w:val="clear" w:fill="FFFFFF"/>
                <w:lang w:val="en-US" w:eastAsia="zh-CN" w:bidi="ar"/>
              </w:rPr>
              <w:t>同比跌幅61.98%。</w:t>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4257675" cy="2733675"/>
                  <wp:effectExtent l="0" t="0" r="952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257675" cy="273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0"/>
            </w:pPr>
            <w:r>
              <w:rPr>
                <w:rFonts w:hint="eastAsia" w:ascii="微软雅黑" w:hAnsi="微软雅黑" w:eastAsia="微软雅黑" w:cs="微软雅黑"/>
                <w:caps w:val="0"/>
                <w:spacing w:val="0"/>
                <w:sz w:val="21"/>
                <w:szCs w:val="21"/>
                <w:shd w:val="clear" w:fill="FFFFFF"/>
              </w:rPr>
              <w:t>  </w:t>
            </w:r>
            <w:r>
              <w:rPr>
                <w:rFonts w:hint="eastAsia" w:ascii="微软雅黑" w:hAnsi="微软雅黑" w:eastAsia="微软雅黑" w:cs="微软雅黑"/>
                <w:b/>
                <w:caps w:val="0"/>
                <w:spacing w:val="0"/>
                <w:sz w:val="21"/>
                <w:szCs w:val="21"/>
                <w:shd w:val="clear" w:fill="FFFFFF"/>
              </w:rPr>
              <w:t>11月成交主要集中在伍家区和夷陵区。伍家区成交环比下跌1%</w:t>
            </w:r>
            <w:r>
              <w:rPr>
                <w:rFonts w:hint="eastAsia" w:ascii="微软雅黑" w:hAnsi="微软雅黑" w:eastAsia="微软雅黑" w:cs="微软雅黑"/>
                <w:caps w:val="0"/>
                <w:spacing w:val="0"/>
                <w:sz w:val="21"/>
                <w:szCs w:val="21"/>
                <w:shd w:val="clear" w:fill="FFFFFF"/>
              </w:rPr>
              <w:t>，但仍然是11月成交最高，其中中铁世纪山水和宏信依山郡贡献最大。</w:t>
            </w:r>
            <w:r>
              <w:rPr>
                <w:rFonts w:hint="eastAsia" w:ascii="微软雅黑" w:hAnsi="微软雅黑" w:eastAsia="微软雅黑" w:cs="微软雅黑"/>
                <w:b/>
                <w:caps w:val="0"/>
                <w:spacing w:val="0"/>
                <w:sz w:val="21"/>
                <w:szCs w:val="21"/>
                <w:shd w:val="clear" w:fill="FFFFFF"/>
              </w:rPr>
              <w:t>夷陵区成交478套，环比上涨48%</w:t>
            </w:r>
            <w:r>
              <w:rPr>
                <w:rFonts w:hint="eastAsia" w:ascii="微软雅黑" w:hAnsi="微软雅黑" w:eastAsia="微软雅黑" w:cs="微软雅黑"/>
                <w:caps w:val="0"/>
                <w:spacing w:val="0"/>
                <w:sz w:val="21"/>
                <w:szCs w:val="21"/>
                <w:shd w:val="clear" w:fill="FFFFFF"/>
              </w:rPr>
              <w:t>，仅仅比伍家区少11套恒大、万科、保利、碧桂园等一线房企的入驻，使得夷陵成为楼市新的主战场。而</w:t>
            </w:r>
            <w:r>
              <w:rPr>
                <w:rFonts w:hint="eastAsia" w:ascii="微软雅黑" w:hAnsi="微软雅黑" w:eastAsia="微软雅黑" w:cs="微软雅黑"/>
                <w:b/>
                <w:caps w:val="0"/>
                <w:spacing w:val="0"/>
                <w:sz w:val="21"/>
                <w:szCs w:val="21"/>
                <w:shd w:val="clear" w:fill="FFFFFF"/>
              </w:rPr>
              <w:t>猇亭11月成交环比下滑51%</w:t>
            </w:r>
            <w:r>
              <w:rPr>
                <w:rFonts w:hint="eastAsia" w:ascii="微软雅黑" w:hAnsi="微软雅黑" w:eastAsia="微软雅黑" w:cs="微软雅黑"/>
                <w:caps w:val="0"/>
                <w:spacing w:val="0"/>
                <w:sz w:val="21"/>
                <w:szCs w:val="21"/>
                <w:shd w:val="clear" w:fill="FFFFFF"/>
              </w:rPr>
              <w:t>；</w:t>
            </w:r>
            <w:r>
              <w:rPr>
                <w:rFonts w:hint="eastAsia" w:ascii="微软雅黑" w:hAnsi="微软雅黑" w:eastAsia="微软雅黑" w:cs="微软雅黑"/>
                <w:b/>
                <w:caps w:val="0"/>
                <w:spacing w:val="0"/>
                <w:sz w:val="21"/>
                <w:szCs w:val="21"/>
                <w:shd w:val="clear" w:fill="FFFFFF"/>
              </w:rPr>
              <w:t>开发区成交环比上涨77%</w:t>
            </w:r>
            <w:r>
              <w:rPr>
                <w:rFonts w:hint="eastAsia" w:ascii="微软雅黑" w:hAnsi="微软雅黑" w:eastAsia="微软雅黑" w:cs="微软雅黑"/>
                <w:caps w:val="0"/>
                <w:spacing w:val="0"/>
                <w:sz w:val="21"/>
                <w:szCs w:val="21"/>
                <w:shd w:val="clear" w:fill="FFFFFF"/>
              </w:rPr>
              <w:t>，主要源于弘洋卢浮公馆上月开盘加推的网签。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0"/>
            </w:pPr>
            <w:r>
              <w:rPr>
                <w:rFonts w:hint="eastAsia" w:ascii="宋体" w:hAnsi="宋体" w:eastAsia="宋体" w:cs="宋体"/>
                <w:caps w:val="0"/>
                <w:spacing w:val="0"/>
                <w:sz w:val="24"/>
                <w:szCs w:val="24"/>
              </w:rPr>
              <w:t>       </w:t>
            </w:r>
            <w:r>
              <w:rPr>
                <w:rFonts w:hint="eastAsia" w:ascii="宋体" w:hAnsi="宋体" w:eastAsia="宋体" w:cs="宋体"/>
                <w:caps w:val="0"/>
                <w:spacing w:val="0"/>
                <w:sz w:val="24"/>
                <w:szCs w:val="24"/>
              </w:rPr>
              <w:drawing>
                <wp:inline distT="0" distB="0" distL="114300" distR="114300">
                  <wp:extent cx="4248150" cy="2514600"/>
                  <wp:effectExtent l="0" t="0" r="381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248150" cy="2514600"/>
                          </a:xfrm>
                          <a:prstGeom prst="rect">
                            <a:avLst/>
                          </a:prstGeom>
                          <a:noFill/>
                          <a:ln w="9525">
                            <a:noFill/>
                          </a:ln>
                        </pic:spPr>
                      </pic:pic>
                    </a:graphicData>
                  </a:graphic>
                </wp:inline>
              </w:drawing>
            </w:r>
            <w:r>
              <w:rPr>
                <w:rFonts w:hint="eastAsia" w:ascii="宋体" w:hAnsi="宋体" w:eastAsia="宋体" w:cs="宋体"/>
                <w:caps w:val="0"/>
                <w:spacing w:val="0"/>
                <w:sz w:val="24"/>
                <w:szCs w:val="24"/>
              </w:rPr>
              <w:t>          </w:t>
            </w:r>
          </w:p>
          <w:p>
            <w:pPr>
              <w:pStyle w:val="3"/>
              <w:keepNext w:val="0"/>
              <w:keepLines w:val="0"/>
              <w:widowControl/>
              <w:suppressLineNumbers w:val="0"/>
              <w:shd w:val="clear" w:fill="FFFFFF"/>
              <w:spacing w:before="0" w:beforeAutospacing="1" w:after="420" w:afterAutospacing="0" w:line="400" w:lineRule="atLeast"/>
              <w:ind w:left="0" w:right="0"/>
            </w:pPr>
            <w:r>
              <w:rPr>
                <w:rFonts w:hint="eastAsia" w:ascii="微软雅黑" w:hAnsi="微软雅黑" w:eastAsia="微软雅黑" w:cs="微软雅黑"/>
                <w:b/>
                <w:caps w:val="0"/>
                <w:spacing w:val="0"/>
                <w:sz w:val="24"/>
                <w:szCs w:val="24"/>
                <w:shd w:val="clear" w:fill="FFFFFF"/>
              </w:rPr>
              <w:t>二、全市在售项目销售排名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420"/>
            </w:pPr>
            <w:r>
              <w:rPr>
                <w:rFonts w:hint="eastAsia" w:ascii="微软雅黑" w:hAnsi="微软雅黑" w:eastAsia="微软雅黑" w:cs="微软雅黑"/>
                <w:caps w:val="0"/>
                <w:spacing w:val="0"/>
                <w:sz w:val="21"/>
                <w:szCs w:val="21"/>
                <w:shd w:val="clear" w:fill="FFFFFF"/>
              </w:rPr>
              <w:t>11月的新房成交有小幅回升。年底将至，加之各个项目工程进度的达标，11月开盘次数明显增加，且纯新楼盘接连入市。并且部分纯新楼盘以低于市场预期的价格入市。低价的绝对优势，使得新楼盘去化普遍不错，开盘售罄的情况重现。</w:t>
            </w:r>
          </w:p>
          <w:tbl>
            <w:tblPr>
              <w:tblStyle w:val="4"/>
              <w:tblW w:w="8610" w:type="dxa"/>
              <w:tblInd w:w="83" w:type="dxa"/>
              <w:shd w:val="clear" w:color="auto" w:fill="auto"/>
              <w:tblLayout w:type="fixed"/>
              <w:tblCellMar>
                <w:top w:w="15" w:type="dxa"/>
                <w:left w:w="15" w:type="dxa"/>
                <w:bottom w:w="15" w:type="dxa"/>
                <w:right w:w="15" w:type="dxa"/>
              </w:tblCellMar>
            </w:tblPr>
            <w:tblGrid>
              <w:gridCol w:w="1079"/>
              <w:gridCol w:w="1080"/>
              <w:gridCol w:w="2430"/>
              <w:gridCol w:w="2026"/>
              <w:gridCol w:w="1995"/>
            </w:tblGrid>
            <w:tr>
              <w:tblPrEx>
                <w:tblCellMar>
                  <w:top w:w="15" w:type="dxa"/>
                  <w:left w:w="15" w:type="dxa"/>
                  <w:bottom w:w="15" w:type="dxa"/>
                  <w:right w:w="15" w:type="dxa"/>
                </w:tblCellMar>
              </w:tblPrEx>
              <w:trPr>
                <w:trHeight w:val="301" w:hRule="atLeast"/>
              </w:trPr>
              <w:tc>
                <w:tcPr>
                  <w:tcW w:w="8610" w:type="dxa"/>
                  <w:gridSpan w:val="5"/>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11月宜昌楼盘网签套数排行榜</w:t>
                  </w:r>
                </w:p>
              </w:tc>
            </w:tr>
            <w:tr>
              <w:tblPrEx>
                <w:tblCellMar>
                  <w:top w:w="15" w:type="dxa"/>
                  <w:left w:w="15" w:type="dxa"/>
                  <w:bottom w:w="15" w:type="dxa"/>
                  <w:right w:w="15" w:type="dxa"/>
                </w:tblCellMar>
              </w:tblPrEx>
              <w:trPr>
                <w:trHeight w:val="301"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排行</w:t>
                  </w:r>
                </w:p>
              </w:tc>
              <w:tc>
                <w:tcPr>
                  <w:tcW w:w="10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区域</w:t>
                  </w:r>
                </w:p>
              </w:tc>
              <w:tc>
                <w:tcPr>
                  <w:tcW w:w="243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楼盘名称</w:t>
                  </w:r>
                </w:p>
              </w:tc>
              <w:tc>
                <w:tcPr>
                  <w:tcW w:w="202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成交套数（套）</w:t>
                  </w:r>
                </w:p>
              </w:tc>
              <w:tc>
                <w:tcPr>
                  <w:tcW w:w="199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成交面积（㎡）</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龙泉</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碧桂园·北站之星</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15089.78</w:t>
                  </w:r>
                </w:p>
              </w:tc>
            </w:tr>
            <w:tr>
              <w:tblPrEx>
                <w:shd w:val="clear" w:color="auto" w:fill="auto"/>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城东片区</w:t>
                  </w:r>
                </w:p>
              </w:tc>
              <w:tc>
                <w:tcPr>
                  <w:tcW w:w="2430"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宏信·依山郡</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108</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11302.14</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东城片区</w:t>
                  </w:r>
                </w:p>
              </w:tc>
              <w:tc>
                <w:tcPr>
                  <w:tcW w:w="243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万科理想城</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95</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10660.29</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中铁龙盘湖世纪山水</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94</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10998.36</w:t>
                  </w:r>
                </w:p>
              </w:tc>
            </w:tr>
            <w:tr>
              <w:tblPrEx>
                <w:shd w:val="clear" w:color="auto" w:fill="auto"/>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西陵区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万佳·半山学府</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91</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6394.55</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万豪中心</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88</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11525.41</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东山片区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弘洋·卢浮公馆</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75</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7676.1</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西陵区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北辰港湾</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61</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6761.47</w:t>
                  </w:r>
                </w:p>
              </w:tc>
            </w:tr>
            <w:tr>
              <w:tblPrEx>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点军区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宜昌清能碧桂园二期B区</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55</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9722.27</w:t>
                  </w:r>
                </w:p>
              </w:tc>
            </w:tr>
            <w:tr>
              <w:tblPrEx>
                <w:shd w:val="clear" w:color="auto" w:fill="auto"/>
                <w:tblCellMar>
                  <w:top w:w="15" w:type="dxa"/>
                  <w:left w:w="15" w:type="dxa"/>
                  <w:bottom w:w="15" w:type="dxa"/>
                  <w:right w:w="15" w:type="dxa"/>
                </w:tblCellMar>
              </w:tblPrEx>
              <w:trPr>
                <w:trHeight w:val="330" w:hRule="atLeast"/>
              </w:trPr>
              <w:tc>
                <w:tcPr>
                  <w:tcW w:w="10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10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东城片区</w:t>
                  </w:r>
                </w:p>
              </w:tc>
              <w:tc>
                <w:tcPr>
                  <w:tcW w:w="24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钓鱼台2号</w:t>
                  </w:r>
                </w:p>
              </w:tc>
              <w:tc>
                <w:tcPr>
                  <w:tcW w:w="2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47</w:t>
                  </w:r>
                </w:p>
              </w:tc>
              <w:tc>
                <w:tcPr>
                  <w:tcW w:w="19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5304.95</w:t>
                  </w:r>
                </w:p>
              </w:tc>
            </w:tr>
          </w:tbl>
          <w:p>
            <w:pPr>
              <w:pStyle w:val="3"/>
              <w:keepNext w:val="0"/>
              <w:keepLines w:val="0"/>
              <w:widowControl/>
              <w:suppressLineNumbers w:val="0"/>
              <w:shd w:val="clear" w:fill="FFFFFF"/>
              <w:wordWrap w:val="0"/>
              <w:spacing w:before="0" w:beforeAutospacing="1" w:after="0" w:afterAutospacing="1" w:line="24" w:lineRule="atLeast"/>
              <w:ind w:left="0" w:right="0"/>
            </w:pPr>
            <w:r>
              <w:rPr>
                <w:rFonts w:ascii="Calibri" w:hAnsi="Calibri" w:eastAsia="宋体" w:cs="Calibri"/>
                <w:caps w:val="0"/>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24" w:lineRule="atLeast"/>
              <w:ind w:left="0" w:right="0" w:firstLine="420"/>
            </w:pPr>
            <w:r>
              <w:rPr>
                <w:rFonts w:hint="eastAsia" w:ascii="微软雅黑" w:hAnsi="微软雅黑" w:eastAsia="微软雅黑" w:cs="微软雅黑"/>
                <w:caps w:val="0"/>
                <w:spacing w:val="0"/>
                <w:sz w:val="21"/>
                <w:szCs w:val="21"/>
                <w:shd w:val="clear" w:fill="FFFFFF"/>
              </w:rPr>
              <w:t>以上楼盘中，万科理想城、万佳·半山学府、万豪中心等均为新盘首开，且开盘效果较好。其中，万科理想城与万豪中心均以低于市场预期的价格在首次开盘即售罄，万佳·半山学府为西陵主城区少有的新盘，且占据比较好的地段，加之前期蓄客时间较长，首次开盘去化也比较可观。</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第四部分   重点楼盘概况</w:t>
            </w:r>
          </w:p>
          <w:p>
            <w:pPr>
              <w:pStyle w:val="3"/>
              <w:keepNext w:val="0"/>
              <w:keepLines w:val="0"/>
              <w:widowControl/>
              <w:suppressLineNumbers w:val="0"/>
              <w:shd w:val="clear" w:fill="FFFFFF"/>
              <w:spacing w:before="0" w:beforeAutospacing="1" w:after="0" w:afterAutospacing="1" w:line="420" w:lineRule="atLeast"/>
              <w:ind w:left="0" w:right="0" w:firstLine="420"/>
              <w:textAlignment w:val="top"/>
            </w:pPr>
            <w:r>
              <w:rPr>
                <w:rFonts w:hint="eastAsia" w:ascii="微软雅黑" w:hAnsi="微软雅黑" w:eastAsia="微软雅黑" w:cs="微软雅黑"/>
                <w:b/>
                <w:caps w:val="0"/>
                <w:spacing w:val="0"/>
                <w:sz w:val="24"/>
                <w:szCs w:val="24"/>
                <w:shd w:val="clear" w:fill="FFFFFF"/>
              </w:rPr>
              <w:t>一、11月开盘回顾</w:t>
            </w:r>
          </w:p>
          <w:p>
            <w:pPr>
              <w:pStyle w:val="3"/>
              <w:keepNext w:val="0"/>
              <w:keepLines w:val="0"/>
              <w:widowControl/>
              <w:suppressLineNumbers w:val="0"/>
              <w:shd w:val="clear" w:fill="FFFFFF"/>
              <w:spacing w:before="0" w:beforeAutospacing="1" w:after="0" w:afterAutospacing="1" w:line="420" w:lineRule="atLeast"/>
              <w:ind w:left="0" w:right="0" w:firstLine="420"/>
              <w:textAlignment w:val="top"/>
            </w:pPr>
            <w:r>
              <w:rPr>
                <w:rFonts w:hint="eastAsia" w:ascii="微软雅黑" w:hAnsi="微软雅黑" w:eastAsia="微软雅黑" w:cs="微软雅黑"/>
                <w:b/>
                <w:caps w:val="0"/>
                <w:spacing w:val="0"/>
                <w:sz w:val="21"/>
                <w:szCs w:val="21"/>
                <w:shd w:val="clear" w:fill="FFFFFF"/>
              </w:rPr>
              <w:t>11月每周都有楼盘开盘</w:t>
            </w:r>
            <w:r>
              <w:rPr>
                <w:rFonts w:hint="eastAsia" w:ascii="微软雅黑" w:hAnsi="微软雅黑" w:eastAsia="微软雅黑" w:cs="微软雅黑"/>
                <w:caps w:val="0"/>
                <w:spacing w:val="0"/>
                <w:sz w:val="21"/>
                <w:szCs w:val="21"/>
                <w:shd w:val="clear" w:fill="FFFFFF"/>
              </w:rPr>
              <w:t>。</w:t>
            </w:r>
            <w:r>
              <w:rPr>
                <w:rFonts w:hint="eastAsia" w:ascii="微软雅黑" w:hAnsi="微软雅黑" w:eastAsia="微软雅黑" w:cs="微软雅黑"/>
                <w:b/>
                <w:caps w:val="0"/>
                <w:spacing w:val="0"/>
                <w:sz w:val="21"/>
                <w:szCs w:val="21"/>
                <w:shd w:val="clear" w:fill="FFFFFF"/>
              </w:rPr>
              <w:t>开盘时间集中在中下旬</w:t>
            </w:r>
            <w:r>
              <w:rPr>
                <w:rFonts w:hint="eastAsia" w:ascii="微软雅黑" w:hAnsi="微软雅黑" w:eastAsia="微软雅黑" w:cs="微软雅黑"/>
                <w:caps w:val="0"/>
                <w:spacing w:val="0"/>
                <w:sz w:val="21"/>
                <w:szCs w:val="21"/>
                <w:shd w:val="clear" w:fill="FFFFFF"/>
              </w:rPr>
              <w:t>，其中11月12日-11月18日，宏信·依山郡、银河·东湖雅居、万佳·半山学府等8个楼盘先后开盘及加推；11月19日-11月25日，东馨府、阳光公馆、万豪中心等6个楼盘先后开盘及加推。</w:t>
            </w:r>
          </w:p>
          <w:p>
            <w:pPr>
              <w:pStyle w:val="3"/>
              <w:keepNext w:val="0"/>
              <w:keepLines w:val="0"/>
              <w:widowControl/>
              <w:suppressLineNumbers w:val="0"/>
              <w:shd w:val="clear" w:fill="FFFFFF"/>
              <w:spacing w:before="0" w:beforeAutospacing="1" w:after="0" w:afterAutospacing="1" w:line="420" w:lineRule="atLeast"/>
              <w:ind w:left="0" w:right="0" w:firstLine="420"/>
              <w:textAlignment w:val="top"/>
            </w:pPr>
            <w:r>
              <w:rPr>
                <w:rFonts w:hint="eastAsia" w:ascii="微软雅黑" w:hAnsi="微软雅黑" w:eastAsia="微软雅黑" w:cs="微软雅黑"/>
                <w:caps w:val="0"/>
                <w:spacing w:val="0"/>
                <w:sz w:val="21"/>
                <w:szCs w:val="21"/>
                <w:shd w:val="clear" w:fill="FFFFFF"/>
              </w:rPr>
              <w:t>东馨府、阳光公馆、万豪中心、保利·香槟国际、碧桂园·北站之星5个项目为新盘首开。另外梧桐邑·九棠府、鸿坤·花语墅在本月加推2次。</w:t>
            </w:r>
          </w:p>
          <w:tbl>
            <w:tblPr>
              <w:tblStyle w:val="4"/>
              <w:tblW w:w="8323" w:type="dxa"/>
              <w:tblInd w:w="83" w:type="dxa"/>
              <w:shd w:val="clear" w:color="auto" w:fill="auto"/>
              <w:tblLayout w:type="fixed"/>
              <w:tblCellMar>
                <w:top w:w="15" w:type="dxa"/>
                <w:left w:w="15" w:type="dxa"/>
                <w:bottom w:w="15" w:type="dxa"/>
                <w:right w:w="15" w:type="dxa"/>
              </w:tblCellMar>
            </w:tblPr>
            <w:tblGrid>
              <w:gridCol w:w="1078"/>
              <w:gridCol w:w="1081"/>
              <w:gridCol w:w="2221"/>
              <w:gridCol w:w="1258"/>
              <w:gridCol w:w="1200"/>
              <w:gridCol w:w="1485"/>
            </w:tblGrid>
            <w:tr>
              <w:tblPrEx>
                <w:shd w:val="clear" w:color="auto" w:fill="auto"/>
                <w:tblCellMar>
                  <w:top w:w="15" w:type="dxa"/>
                  <w:left w:w="15" w:type="dxa"/>
                  <w:bottom w:w="15" w:type="dxa"/>
                  <w:right w:w="15" w:type="dxa"/>
                </w:tblCellMar>
              </w:tblPrEx>
              <w:trPr>
                <w:trHeight w:val="360" w:hRule="atLeast"/>
              </w:trPr>
              <w:tc>
                <w:tcPr>
                  <w:tcW w:w="8323" w:type="dxa"/>
                  <w:gridSpan w:val="6"/>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2018年11月宜昌新房开盘一览</w:t>
                  </w:r>
                </w:p>
              </w:tc>
            </w:tr>
            <w:tr>
              <w:tblPrEx>
                <w:tblCellMar>
                  <w:top w:w="15" w:type="dxa"/>
                  <w:left w:w="15" w:type="dxa"/>
                  <w:bottom w:w="15" w:type="dxa"/>
                  <w:right w:w="15" w:type="dxa"/>
                </w:tblCellMar>
              </w:tblPrEx>
              <w:trPr>
                <w:trHeight w:val="280"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序号</w:t>
                  </w:r>
                </w:p>
              </w:tc>
              <w:tc>
                <w:tcPr>
                  <w:tcW w:w="108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时间</w:t>
                  </w:r>
                </w:p>
              </w:tc>
              <w:tc>
                <w:tcPr>
                  <w:tcW w:w="222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楼盘</w:t>
                  </w:r>
                </w:p>
              </w:tc>
              <w:tc>
                <w:tcPr>
                  <w:tcW w:w="125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区域</w:t>
                  </w:r>
                </w:p>
              </w:tc>
              <w:tc>
                <w:tcPr>
                  <w:tcW w:w="120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套数（套）</w:t>
                  </w:r>
                </w:p>
              </w:tc>
              <w:tc>
                <w:tcPr>
                  <w:tcW w:w="148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均价（元/㎡）</w:t>
                  </w:r>
                </w:p>
              </w:tc>
            </w:tr>
            <w:tr>
              <w:tblPrEx>
                <w:shd w:val="clear" w:color="auto" w:fill="auto"/>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11.03</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繁荣世家</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68</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7000</w:t>
                  </w:r>
                </w:p>
              </w:tc>
            </w:tr>
            <w:tr>
              <w:tblPrEx>
                <w:shd w:val="clear" w:color="auto" w:fill="auto"/>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11.10</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宏信·公园里</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123</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7500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11.11</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伍领江湖</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58</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8800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4</w:t>
                  </w:r>
                </w:p>
              </w:tc>
              <w:tc>
                <w:tcPr>
                  <w:tcW w:w="1081"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11.13</w:t>
                  </w:r>
                </w:p>
              </w:tc>
              <w:tc>
                <w:tcPr>
                  <w:tcW w:w="2221"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宏信·依山郡</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城东片区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232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8700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w:t>
                  </w:r>
                </w:p>
              </w:tc>
              <w:tc>
                <w:tcPr>
                  <w:tcW w:w="108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11.13</w:t>
                  </w:r>
                </w:p>
              </w:tc>
              <w:tc>
                <w:tcPr>
                  <w:tcW w:w="222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银河·东湖雅居</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6980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6</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11.13</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万佳·半山学府</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西陵区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80</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10000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11.17</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梧桐邑·九棠府</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128</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9500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11.17</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世纪山水</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256</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9000</w:t>
                  </w:r>
                </w:p>
              </w:tc>
            </w:tr>
            <w:tr>
              <w:tblPrEx>
                <w:shd w:val="clear" w:color="auto" w:fill="auto"/>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11.17</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弘洋·凡尔赛花园</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城东片区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10500</w:t>
                  </w:r>
                </w:p>
              </w:tc>
            </w:tr>
            <w:tr>
              <w:tblPrEx>
                <w:shd w:val="clear" w:color="auto" w:fill="auto"/>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10</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11.18</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鸿坤·花语墅</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8000</w:t>
                  </w:r>
                </w:p>
              </w:tc>
            </w:tr>
            <w:tr>
              <w:tblPrEx>
                <w:shd w:val="clear" w:color="auto" w:fill="auto"/>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11.18</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碧桂园·北站之星</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龙泉镇</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5300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11.21</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东馨府</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96</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8399</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13</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11.22</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梧桐邑·九棠府</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128</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9500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14</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11.24</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阳光公馆</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182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9200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15</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11.25</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万豪中心</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168</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9300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11.25</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保利·香槟国际</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夷陵区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7500</w:t>
                  </w:r>
                </w:p>
              </w:tc>
            </w:tr>
            <w:tr>
              <w:tblPrEx>
                <w:shd w:val="clear" w:color="auto" w:fill="auto"/>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17</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11.25</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鸿坤·花语墅</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东城片区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30</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7500</w:t>
                  </w:r>
                </w:p>
              </w:tc>
            </w:tr>
            <w:tr>
              <w:tblPrEx>
                <w:tblCellMar>
                  <w:top w:w="15" w:type="dxa"/>
                  <w:left w:w="15" w:type="dxa"/>
                  <w:bottom w:w="15" w:type="dxa"/>
                  <w:right w:w="15" w:type="dxa"/>
                </w:tblCellMar>
              </w:tblPrEx>
              <w:trPr>
                <w:trHeight w:val="286" w:hRule="atLeast"/>
              </w:trPr>
              <w:tc>
                <w:tcPr>
                  <w:tcW w:w="10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18</w:t>
                  </w:r>
                </w:p>
              </w:tc>
              <w:tc>
                <w:tcPr>
                  <w:tcW w:w="10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11.29</w:t>
                  </w:r>
                </w:p>
              </w:tc>
              <w:tc>
                <w:tcPr>
                  <w:tcW w:w="222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融创宏泰·融公馆</w:t>
                  </w:r>
                </w:p>
              </w:tc>
              <w:tc>
                <w:tcPr>
                  <w:tcW w:w="125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东站片区</w:t>
                  </w:r>
                </w:p>
              </w:tc>
              <w:tc>
                <w:tcPr>
                  <w:tcW w:w="12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168</w:t>
                  </w:r>
                </w:p>
              </w:tc>
              <w:tc>
                <w:tcPr>
                  <w:tcW w:w="148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8"/>
                      <w:szCs w:val="18"/>
                      <w:lang w:val="en-US" w:eastAsia="zh-CN" w:bidi="ar"/>
                    </w:rPr>
                    <w:t>8800</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 w:lineRule="atLeast"/>
              <w:ind w:left="0" w:right="0" w:firstLine="420"/>
            </w:pPr>
            <w:r>
              <w:rPr>
                <w:rFonts w:hint="eastAsia" w:ascii="微软雅黑" w:hAnsi="微软雅黑" w:eastAsia="微软雅黑" w:cs="微软雅黑"/>
                <w:caps w:val="0"/>
                <w:spacing w:val="0"/>
                <w:sz w:val="21"/>
                <w:szCs w:val="21"/>
                <w:shd w:val="clear" w:fill="FFFFFF"/>
              </w:rPr>
              <w:t>从区域来看，</w:t>
            </w:r>
            <w:r>
              <w:rPr>
                <w:rFonts w:hint="eastAsia" w:ascii="微软雅黑" w:hAnsi="微软雅黑" w:eastAsia="微软雅黑" w:cs="微软雅黑"/>
                <w:b/>
                <w:caps w:val="0"/>
                <w:spacing w:val="0"/>
                <w:sz w:val="21"/>
                <w:szCs w:val="21"/>
                <w:shd w:val="clear" w:fill="FFFFFF"/>
              </w:rPr>
              <w:t>东站片区新盘最集中</w:t>
            </w:r>
            <w:r>
              <w:rPr>
                <w:rFonts w:hint="eastAsia" w:ascii="微软雅黑" w:hAnsi="微软雅黑" w:eastAsia="微软雅黑" w:cs="微软雅黑"/>
                <w:caps w:val="0"/>
                <w:spacing w:val="0"/>
                <w:sz w:val="21"/>
                <w:szCs w:val="21"/>
                <w:shd w:val="clear" w:fill="FFFFFF"/>
              </w:rPr>
              <w:t>，11月开盘及加推8次，东城片区开盘及加推3次，小溪塔主城区开盘及加推3次。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 w:lineRule="atLeast"/>
              <w:ind w:left="0" w:right="0" w:firstLine="420"/>
            </w:pPr>
            <w:r>
              <w:rPr>
                <w:rFonts w:hint="eastAsia" w:ascii="微软雅黑" w:hAnsi="微软雅黑" w:eastAsia="微软雅黑" w:cs="微软雅黑"/>
                <w:caps w:val="0"/>
                <w:spacing w:val="0"/>
                <w:sz w:val="21"/>
                <w:szCs w:val="21"/>
                <w:shd w:val="clear" w:fill="FFFFFF"/>
              </w:rPr>
              <w:t>从物业类别来看，</w:t>
            </w:r>
            <w:r>
              <w:rPr>
                <w:rFonts w:hint="eastAsia" w:ascii="微软雅黑" w:hAnsi="微软雅黑" w:eastAsia="微软雅黑" w:cs="微软雅黑"/>
                <w:b/>
                <w:caps w:val="0"/>
                <w:spacing w:val="0"/>
                <w:sz w:val="21"/>
                <w:szCs w:val="21"/>
                <w:shd w:val="clear" w:fill="FFFFFF"/>
              </w:rPr>
              <w:t>以高层房源最为普遍，兼顾小高层、超高层和洋房类产品</w:t>
            </w:r>
            <w:r>
              <w:rPr>
                <w:rFonts w:hint="eastAsia" w:ascii="微软雅黑" w:hAnsi="微软雅黑" w:eastAsia="微软雅黑" w:cs="微软雅黑"/>
                <w:caps w:val="0"/>
                <w:spacing w:val="0"/>
                <w:sz w:val="21"/>
                <w:szCs w:val="21"/>
                <w:shd w:val="clear" w:fill="FFFFFF"/>
              </w:rPr>
              <w:t>。由于开盘的楼盘数量增多，开发商也给出了更多的购房优惠，比如东馨府办理VIP减5000，认筹可享2万抵4万优惠；弘洋·凡尔赛花园认筹减2万，按时签约还有折扣；鸿坤·花语墅买就送1年物业费等等。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 w:lineRule="atLeast"/>
              <w:ind w:left="0" w:right="0" w:firstLine="420"/>
            </w:pPr>
            <w:r>
              <w:rPr>
                <w:rFonts w:hint="eastAsia" w:ascii="微软雅黑" w:hAnsi="微软雅黑" w:eastAsia="微软雅黑" w:cs="微软雅黑"/>
                <w:b/>
                <w:caps w:val="0"/>
                <w:spacing w:val="0"/>
                <w:sz w:val="24"/>
                <w:szCs w:val="24"/>
                <w:shd w:val="clear" w:fill="FFFFFF"/>
              </w:rPr>
              <w:t>二、夷陵区在售楼盘动态</w:t>
            </w:r>
          </w:p>
          <w:tbl>
            <w:tblPr>
              <w:tblStyle w:val="4"/>
              <w:tblW w:w="9420" w:type="dxa"/>
              <w:tblInd w:w="-489" w:type="dxa"/>
              <w:shd w:val="clear" w:color="auto" w:fill="auto"/>
              <w:tblLayout w:type="fixed"/>
              <w:tblCellMar>
                <w:top w:w="15" w:type="dxa"/>
                <w:left w:w="15" w:type="dxa"/>
                <w:bottom w:w="15" w:type="dxa"/>
                <w:right w:w="15" w:type="dxa"/>
              </w:tblCellMar>
            </w:tblPr>
            <w:tblGrid>
              <w:gridCol w:w="615"/>
              <w:gridCol w:w="725"/>
              <w:gridCol w:w="1135"/>
              <w:gridCol w:w="720"/>
              <w:gridCol w:w="840"/>
              <w:gridCol w:w="990"/>
              <w:gridCol w:w="1035"/>
              <w:gridCol w:w="3360"/>
            </w:tblGrid>
            <w:tr>
              <w:tblPrEx>
                <w:shd w:val="clear" w:color="auto" w:fill="auto"/>
                <w:tblCellMar>
                  <w:top w:w="15" w:type="dxa"/>
                  <w:left w:w="15" w:type="dxa"/>
                  <w:bottom w:w="15" w:type="dxa"/>
                  <w:right w:w="15" w:type="dxa"/>
                </w:tblCellMar>
              </w:tblPrEx>
              <w:trPr>
                <w:trHeight w:val="450" w:hRule="atLeast"/>
              </w:trPr>
              <w:tc>
                <w:tcPr>
                  <w:tcW w:w="9420" w:type="dxa"/>
                  <w:gridSpan w:val="8"/>
                  <w:tcBorders>
                    <w:top w:val="single" w:color="000000" w:sz="8" w:space="0"/>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b/>
                      <w:i w:val="0"/>
                      <w:color w:val="000000"/>
                      <w:kern w:val="0"/>
                      <w:sz w:val="18"/>
                      <w:szCs w:val="18"/>
                      <w:lang w:val="en-US" w:eastAsia="zh-CN" w:bidi="ar"/>
                    </w:rPr>
                    <w:t>夷陵区楼盘概况</w:t>
                  </w:r>
                </w:p>
              </w:tc>
            </w:tr>
            <w:tr>
              <w:tblPrEx>
                <w:tblCellMar>
                  <w:top w:w="15" w:type="dxa"/>
                  <w:left w:w="15" w:type="dxa"/>
                  <w:bottom w:w="15" w:type="dxa"/>
                  <w:right w:w="15" w:type="dxa"/>
                </w:tblCellMar>
              </w:tblPrEx>
              <w:trPr>
                <w:trHeight w:val="570" w:hRule="atLeast"/>
              </w:trPr>
              <w:tc>
                <w:tcPr>
                  <w:tcW w:w="615" w:type="dxa"/>
                  <w:tcBorders>
                    <w:top w:val="nil"/>
                    <w:left w:val="single" w:color="000000" w:sz="8" w:space="0"/>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序号</w:t>
                  </w:r>
                </w:p>
              </w:tc>
              <w:tc>
                <w:tcPr>
                  <w:tcW w:w="72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销售状态</w:t>
                  </w:r>
                </w:p>
              </w:tc>
              <w:tc>
                <w:tcPr>
                  <w:tcW w:w="113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名称</w:t>
                  </w:r>
                </w:p>
              </w:tc>
              <w:tc>
                <w:tcPr>
                  <w:tcW w:w="72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总建面（万方）</w:t>
                  </w:r>
                </w:p>
              </w:tc>
              <w:tc>
                <w:tcPr>
                  <w:tcW w:w="84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均价（元/</w:t>
                  </w:r>
                  <w:r>
                    <w:rPr>
                      <w:rFonts w:hint="eastAsia" w:ascii="宋体" w:hAnsi="宋体" w:eastAsia="宋体" w:cs="宋体"/>
                      <w:i w:val="0"/>
                      <w:color w:val="000000"/>
                      <w:kern w:val="0"/>
                      <w:sz w:val="16"/>
                      <w:szCs w:val="16"/>
                      <w:lang w:val="en-US" w:eastAsia="zh-CN" w:bidi="ar"/>
                    </w:rPr>
                    <w:t>㎡</w:t>
                  </w:r>
                  <w:r>
                    <w:rPr>
                      <w:rFonts w:hint="eastAsia" w:ascii="微软雅黑" w:hAnsi="微软雅黑" w:eastAsia="微软雅黑" w:cs="微软雅黑"/>
                      <w:i w:val="0"/>
                      <w:color w:val="000000"/>
                      <w:kern w:val="0"/>
                      <w:sz w:val="16"/>
                      <w:szCs w:val="16"/>
                      <w:lang w:val="en-US" w:eastAsia="zh-CN" w:bidi="ar"/>
                    </w:rPr>
                    <w:t>）</w:t>
                  </w:r>
                </w:p>
              </w:tc>
              <w:tc>
                <w:tcPr>
                  <w:tcW w:w="99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未推出量（套）</w:t>
                  </w:r>
                </w:p>
              </w:tc>
              <w:tc>
                <w:tcPr>
                  <w:tcW w:w="1035"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装修情况</w:t>
                  </w:r>
                </w:p>
              </w:tc>
              <w:tc>
                <w:tcPr>
                  <w:tcW w:w="3360" w:type="dxa"/>
                  <w:tcBorders>
                    <w:top w:val="single" w:color="000000" w:sz="8" w:space="0"/>
                    <w:left w:val="nil"/>
                    <w:bottom w:val="single" w:color="000000" w:sz="8" w:space="0"/>
                    <w:right w:val="single" w:color="000000" w:sz="8" w:space="0"/>
                  </w:tcBorders>
                  <w:shd w:val="clear" w:color="auto" w:fill="FFC000"/>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目前动态</w:t>
                  </w:r>
                </w:p>
              </w:tc>
            </w:tr>
            <w:tr>
              <w:tblPrEx>
                <w:tblCellMar>
                  <w:top w:w="15" w:type="dxa"/>
                  <w:left w:w="15" w:type="dxa"/>
                  <w:bottom w:w="15" w:type="dxa"/>
                  <w:right w:w="15" w:type="dxa"/>
                </w:tblCellMar>
              </w:tblPrEx>
              <w:trPr>
                <w:trHeight w:val="375"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w:t>
                  </w:r>
                </w:p>
              </w:tc>
              <w:tc>
                <w:tcPr>
                  <w:tcW w:w="72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FF0000"/>
                      <w:kern w:val="0"/>
                      <w:sz w:val="16"/>
                      <w:szCs w:val="16"/>
                      <w:lang w:val="en-US" w:eastAsia="zh-CN" w:bidi="ar"/>
                    </w:rPr>
                    <w:t>在售</w:t>
                  </w: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恒大名都</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32.2</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7800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580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精装</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13号楼少量房源</w:t>
                  </w:r>
                </w:p>
              </w:tc>
            </w:tr>
            <w:tr>
              <w:tblPrEx>
                <w:tblCellMar>
                  <w:top w:w="15" w:type="dxa"/>
                  <w:left w:w="15" w:type="dxa"/>
                  <w:bottom w:w="15" w:type="dxa"/>
                  <w:right w:w="15" w:type="dxa"/>
                </w:tblCellMar>
              </w:tblPrEx>
              <w:trPr>
                <w:trHeight w:val="39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万科·理想城</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49</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7700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3550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精装</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首批5栋高层已推</w:t>
                  </w:r>
                </w:p>
              </w:tc>
            </w:tr>
            <w:tr>
              <w:tblPrEx>
                <w:tblCellMar>
                  <w:top w:w="15" w:type="dxa"/>
                  <w:left w:w="15" w:type="dxa"/>
                  <w:bottom w:w="15" w:type="dxa"/>
                  <w:right w:w="15" w:type="dxa"/>
                </w:tblCellMar>
              </w:tblPrEx>
              <w:trPr>
                <w:trHeight w:val="42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碧桂园·城央壹品</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20.6</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8300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1079</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精装</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6/9#楼在售</w:t>
                  </w:r>
                </w:p>
              </w:tc>
            </w:tr>
            <w:tr>
              <w:tblPrEx>
                <w:tblCellMar>
                  <w:top w:w="15" w:type="dxa"/>
                  <w:left w:w="15" w:type="dxa"/>
                  <w:bottom w:w="15" w:type="dxa"/>
                  <w:right w:w="15" w:type="dxa"/>
                </w:tblCellMar>
              </w:tblPrEx>
              <w:trPr>
                <w:trHeight w:val="42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4</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钓鱼台2号</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25</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7000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22#楼在售</w:t>
                  </w:r>
                </w:p>
              </w:tc>
            </w:tr>
            <w:tr>
              <w:tblPrEx>
                <w:shd w:val="clear" w:color="auto" w:fill="auto"/>
                <w:tblCellMar>
                  <w:top w:w="15" w:type="dxa"/>
                  <w:left w:w="15" w:type="dxa"/>
                  <w:bottom w:w="15" w:type="dxa"/>
                  <w:right w:w="15" w:type="dxa"/>
                </w:tblCellMar>
              </w:tblPrEx>
              <w:trPr>
                <w:trHeight w:val="42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5</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银河·东湖雅居</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15</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6900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1186</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8#楼在售</w:t>
                  </w:r>
                </w:p>
              </w:tc>
            </w:tr>
            <w:tr>
              <w:tblPrEx>
                <w:tblCellMar>
                  <w:top w:w="15" w:type="dxa"/>
                  <w:left w:w="15" w:type="dxa"/>
                  <w:bottom w:w="15" w:type="dxa"/>
                  <w:right w:w="15" w:type="dxa"/>
                </w:tblCellMar>
              </w:tblPrEx>
              <w:trPr>
                <w:trHeight w:val="435"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6</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清江润城</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40</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7000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四期高层清盘中，51#楼89</w:t>
                  </w:r>
                  <w:r>
                    <w:rPr>
                      <w:rFonts w:hint="eastAsia" w:ascii="宋体" w:hAnsi="宋体" w:eastAsia="宋体" w:cs="宋体"/>
                      <w:color w:val="000000"/>
                      <w:kern w:val="0"/>
                      <w:sz w:val="16"/>
                      <w:szCs w:val="16"/>
                      <w:lang w:val="en-US" w:eastAsia="zh-CN" w:bidi="ar"/>
                    </w:rPr>
                    <w:t>㎡</w:t>
                  </w:r>
                  <w:r>
                    <w:rPr>
                      <w:rFonts w:hint="eastAsia" w:ascii="微软雅黑" w:hAnsi="微软雅黑" w:eastAsia="微软雅黑" w:cs="微软雅黑"/>
                      <w:color w:val="000000"/>
                      <w:kern w:val="0"/>
                      <w:sz w:val="16"/>
                      <w:szCs w:val="16"/>
                      <w:lang w:val="en-US" w:eastAsia="zh-CN" w:bidi="ar"/>
                    </w:rPr>
                    <w:t>在售</w:t>
                  </w:r>
                </w:p>
              </w:tc>
            </w:tr>
            <w:tr>
              <w:tblPrEx>
                <w:tblCellMar>
                  <w:top w:w="15" w:type="dxa"/>
                  <w:left w:w="15" w:type="dxa"/>
                  <w:bottom w:w="15" w:type="dxa"/>
                  <w:right w:w="15" w:type="dxa"/>
                </w:tblCellMar>
              </w:tblPrEx>
              <w:trPr>
                <w:trHeight w:val="48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经发金亚5号</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6.4</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kern w:val="0"/>
                      <w:sz w:val="16"/>
                      <w:szCs w:val="16"/>
                      <w:lang w:val="en-US" w:eastAsia="zh-CN" w:bidi="ar"/>
                    </w:rPr>
                    <w:t>7200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120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首推二期7#楼洋房，少量剩余</w:t>
                  </w:r>
                </w:p>
              </w:tc>
            </w:tr>
            <w:tr>
              <w:tblPrEx>
                <w:tblCellMar>
                  <w:top w:w="15" w:type="dxa"/>
                  <w:left w:w="15" w:type="dxa"/>
                  <w:bottom w:w="15" w:type="dxa"/>
                  <w:right w:w="15" w:type="dxa"/>
                </w:tblCellMar>
              </w:tblPrEx>
              <w:trPr>
                <w:trHeight w:val="675"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8</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保利·罗兰香谷</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13.6</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7000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首推3#楼，18层，两梯四户，实际可售房源共69套。当天认购约35套，去化率50%。均价7000元/</w:t>
                  </w:r>
                  <w:r>
                    <w:rPr>
                      <w:rFonts w:hint="eastAsia" w:ascii="宋体" w:hAnsi="宋体" w:eastAsia="宋体" w:cs="宋体"/>
                      <w:color w:val="000000"/>
                      <w:kern w:val="0"/>
                      <w:sz w:val="16"/>
                      <w:szCs w:val="16"/>
                      <w:lang w:val="en-US" w:eastAsia="zh-CN" w:bidi="ar"/>
                    </w:rPr>
                    <w:t>㎡</w:t>
                  </w:r>
                </w:p>
              </w:tc>
            </w:tr>
            <w:tr>
              <w:tblPrEx>
                <w:tblCellMar>
                  <w:top w:w="15" w:type="dxa"/>
                  <w:left w:w="15" w:type="dxa"/>
                  <w:bottom w:w="15" w:type="dxa"/>
                  <w:right w:w="15" w:type="dxa"/>
                </w:tblCellMar>
              </w:tblPrEx>
              <w:trPr>
                <w:trHeight w:val="60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9</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保利·香槟国际</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12</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7250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首推6#楼，30层，两梯四户，实际可售房源共114套。当天认购约60套，去化率53%。实际折后均价7250元/</w:t>
                  </w:r>
                  <w:r>
                    <w:rPr>
                      <w:rFonts w:hint="eastAsia" w:ascii="宋体" w:hAnsi="宋体" w:eastAsia="宋体" w:cs="宋体"/>
                      <w:color w:val="000000"/>
                      <w:kern w:val="0"/>
                      <w:sz w:val="16"/>
                      <w:szCs w:val="16"/>
                      <w:lang w:val="en-US" w:eastAsia="zh-CN" w:bidi="ar"/>
                    </w:rPr>
                    <w:t>㎡</w:t>
                  </w:r>
                </w:p>
              </w:tc>
            </w:tr>
            <w:tr>
              <w:tblPrEx>
                <w:shd w:val="clear" w:color="auto" w:fill="auto"/>
                <w:tblCellMar>
                  <w:top w:w="15" w:type="dxa"/>
                  <w:left w:w="15" w:type="dxa"/>
                  <w:bottom w:w="15" w:type="dxa"/>
                  <w:right w:w="15" w:type="dxa"/>
                </w:tblCellMar>
              </w:tblPrEx>
              <w:trPr>
                <w:trHeight w:val="84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10</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鸿坤·花语墅</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28</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7500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1395</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11月18日首开推出3号楼与13号楼共52套， 均价7549元/</w:t>
                  </w:r>
                  <w:r>
                    <w:rPr>
                      <w:rFonts w:hint="eastAsia" w:ascii="宋体" w:hAnsi="宋体" w:eastAsia="宋体" w:cs="宋体"/>
                      <w:color w:val="000000"/>
                      <w:kern w:val="0"/>
                      <w:sz w:val="16"/>
                      <w:szCs w:val="16"/>
                      <w:lang w:val="en-US" w:eastAsia="zh-CN" w:bidi="ar"/>
                    </w:rPr>
                    <w:t>㎡，去化约47套。</w:t>
                  </w:r>
                  <w:r>
                    <w:rPr>
                      <w:rFonts w:hint="eastAsia" w:ascii="微软雅黑" w:hAnsi="微软雅黑" w:eastAsia="微软雅黑" w:cs="微软雅黑"/>
                      <w:color w:val="000000"/>
                      <w:kern w:val="0"/>
                      <w:sz w:val="16"/>
                      <w:szCs w:val="16"/>
                      <w:lang w:val="en-US" w:eastAsia="zh-CN" w:bidi="ar"/>
                    </w:rPr>
                    <w:t>11月25日加推2#和14#共52套。 均价 7737元/</w:t>
                  </w:r>
                  <w:r>
                    <w:rPr>
                      <w:rFonts w:hint="eastAsia" w:ascii="宋体" w:hAnsi="宋体" w:eastAsia="宋体" w:cs="宋体"/>
                      <w:color w:val="000000"/>
                      <w:kern w:val="0"/>
                      <w:sz w:val="16"/>
                      <w:szCs w:val="16"/>
                      <w:lang w:val="en-US" w:eastAsia="zh-CN" w:bidi="ar"/>
                    </w:rPr>
                    <w:t>㎡，去化约</w:t>
                  </w:r>
                  <w:r>
                    <w:rPr>
                      <w:rFonts w:hint="eastAsia" w:ascii="微软雅黑" w:hAnsi="微软雅黑" w:eastAsia="微软雅黑" w:cs="微软雅黑"/>
                      <w:color w:val="000000"/>
                      <w:kern w:val="0"/>
                      <w:sz w:val="16"/>
                      <w:szCs w:val="16"/>
                      <w:lang w:val="en-US" w:eastAsia="zh-CN" w:bidi="ar"/>
                    </w:rPr>
                    <w:t>31</w:t>
                  </w:r>
                  <w:r>
                    <w:rPr>
                      <w:rFonts w:hint="eastAsia" w:ascii="宋体" w:hAnsi="宋体" w:eastAsia="宋体" w:cs="宋体"/>
                      <w:color w:val="000000"/>
                      <w:kern w:val="0"/>
                      <w:sz w:val="16"/>
                      <w:szCs w:val="16"/>
                      <w:lang w:val="en-US" w:eastAsia="zh-CN" w:bidi="ar"/>
                    </w:rPr>
                    <w:t>套</w:t>
                  </w:r>
                </w:p>
              </w:tc>
            </w:tr>
            <w:tr>
              <w:tblPrEx>
                <w:tblCellMar>
                  <w:top w:w="15" w:type="dxa"/>
                  <w:left w:w="15" w:type="dxa"/>
                  <w:bottom w:w="15" w:type="dxa"/>
                  <w:right w:w="15" w:type="dxa"/>
                </w:tblCellMar>
              </w:tblPrEx>
              <w:trPr>
                <w:trHeight w:val="42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11</w:t>
                  </w:r>
                </w:p>
              </w:tc>
              <w:tc>
                <w:tcPr>
                  <w:tcW w:w="72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FF0000"/>
                      <w:kern w:val="0"/>
                      <w:sz w:val="16"/>
                      <w:szCs w:val="16"/>
                      <w:lang w:val="en-US" w:eastAsia="zh-CN" w:bidi="ar"/>
                    </w:rPr>
                    <w:t>待推</w:t>
                  </w: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弘洋·新都汇</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30</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待定</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256</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精装</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VIP圈存中</w:t>
                  </w:r>
                </w:p>
              </w:tc>
            </w:tr>
            <w:tr>
              <w:tblPrEx>
                <w:tblCellMar>
                  <w:top w:w="15" w:type="dxa"/>
                  <w:left w:w="15" w:type="dxa"/>
                  <w:bottom w:w="15" w:type="dxa"/>
                  <w:right w:w="15" w:type="dxa"/>
                </w:tblCellMar>
              </w:tblPrEx>
              <w:trPr>
                <w:trHeight w:val="42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12</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东辰幸福里</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3.8</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待定</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237</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意向客户登记中</w:t>
                  </w:r>
                </w:p>
              </w:tc>
            </w:tr>
            <w:tr>
              <w:tblPrEx>
                <w:shd w:val="clear" w:color="auto" w:fill="auto"/>
                <w:tblCellMar>
                  <w:top w:w="15" w:type="dxa"/>
                  <w:left w:w="15" w:type="dxa"/>
                  <w:bottom w:w="15" w:type="dxa"/>
                  <w:right w:w="15" w:type="dxa"/>
                </w:tblCellMar>
              </w:tblPrEx>
              <w:trPr>
                <w:trHeight w:val="435"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13</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宏信玫瑰城3期</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40</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预计6500</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128</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9#楼即将开盘，客户登记中</w:t>
                  </w:r>
                </w:p>
              </w:tc>
            </w:tr>
            <w:tr>
              <w:tblPrEx>
                <w:tblCellMar>
                  <w:top w:w="15" w:type="dxa"/>
                  <w:left w:w="15" w:type="dxa"/>
                  <w:bottom w:w="15" w:type="dxa"/>
                  <w:right w:w="15" w:type="dxa"/>
                </w:tblCellMar>
              </w:tblPrEx>
              <w:trPr>
                <w:trHeight w:val="48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14</w:t>
                  </w:r>
                </w:p>
              </w:tc>
              <w:tc>
                <w:tcPr>
                  <w:tcW w:w="72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FF0000"/>
                      <w:kern w:val="0"/>
                      <w:sz w:val="16"/>
                      <w:szCs w:val="16"/>
                      <w:lang w:val="en-US" w:eastAsia="zh-CN" w:bidi="ar"/>
                    </w:rPr>
                    <w:t>新盘</w:t>
                  </w: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碧桂园·云廷</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27</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待定</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500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精装</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展厅对外展示中，预计年底营销中心开放</w:t>
                  </w:r>
                </w:p>
              </w:tc>
            </w:tr>
            <w:tr>
              <w:tblPrEx>
                <w:tblCellMar>
                  <w:top w:w="15" w:type="dxa"/>
                  <w:left w:w="15" w:type="dxa"/>
                  <w:bottom w:w="15" w:type="dxa"/>
                  <w:right w:w="15" w:type="dxa"/>
                </w:tblCellMar>
              </w:tblPrEx>
              <w:trPr>
                <w:trHeight w:val="60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15</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金科·集美阳光</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6</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待定</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精装</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营销中心和样板间已开放，首开1#与4#楼高层，预计年底开盘</w:t>
                  </w:r>
                </w:p>
              </w:tc>
            </w:tr>
            <w:tr>
              <w:tblPrEx>
                <w:tblCellMar>
                  <w:top w:w="15" w:type="dxa"/>
                  <w:left w:w="15" w:type="dxa"/>
                  <w:bottom w:w="15" w:type="dxa"/>
                  <w:right w:w="15" w:type="dxa"/>
                </w:tblCellMar>
              </w:tblPrEx>
              <w:trPr>
                <w:trHeight w:val="45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16</w:t>
                  </w:r>
                </w:p>
              </w:tc>
              <w:tc>
                <w:tcPr>
                  <w:tcW w:w="725" w:type="dxa"/>
                  <w:vMerge w:val="continue"/>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sz w:val="14"/>
                      <w:szCs w:val="14"/>
                    </w:rPr>
                  </w:pPr>
                </w:p>
              </w:tc>
              <w:tc>
                <w:tcPr>
                  <w:tcW w:w="11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联投·银河公园</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21</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待定</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300</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毛坯</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水悦城外展点、及CBD展厅开放，形象宣传中，首开别墅</w:t>
                  </w:r>
                </w:p>
              </w:tc>
            </w:tr>
            <w:tr>
              <w:tblPrEx>
                <w:shd w:val="clear" w:color="auto" w:fill="auto"/>
                <w:tblCellMar>
                  <w:top w:w="15" w:type="dxa"/>
                  <w:left w:w="15" w:type="dxa"/>
                  <w:bottom w:w="15" w:type="dxa"/>
                  <w:right w:w="15" w:type="dxa"/>
                </w:tblCellMar>
              </w:tblPrEx>
              <w:trPr>
                <w:trHeight w:val="286" w:hRule="atLeast"/>
              </w:trPr>
              <w:tc>
                <w:tcPr>
                  <w:tcW w:w="2475" w:type="dxa"/>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小计</w:t>
                  </w:r>
                </w:p>
              </w:tc>
              <w:tc>
                <w:tcPr>
                  <w:tcW w:w="7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369.6</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olor w:val="000000"/>
                      <w:kern w:val="0"/>
                      <w:sz w:val="16"/>
                      <w:szCs w:val="16"/>
                      <w:lang w:val="en-US" w:eastAsia="zh-CN" w:bidi="ar"/>
                    </w:rPr>
                    <w:t> </w:t>
                  </w:r>
                </w:p>
              </w:tc>
              <w:tc>
                <w:tcPr>
                  <w:tcW w:w="9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textAlignment w:val="center"/>
                  </w:pPr>
                  <w:r>
                    <w:rPr>
                      <w:rFonts w:hint="eastAsia" w:ascii="微软雅黑" w:hAnsi="微软雅黑" w:eastAsia="微软雅黑" w:cs="微软雅黑"/>
                      <w:i w:val="0"/>
                      <w:color w:val="000000"/>
                      <w:kern w:val="0"/>
                      <w:sz w:val="16"/>
                      <w:szCs w:val="16"/>
                      <w:lang w:val="en-US" w:eastAsia="zh-CN" w:bidi="ar"/>
                    </w:rPr>
                    <w:t>10231</w:t>
                  </w:r>
                </w:p>
              </w:tc>
              <w:tc>
                <w:tcPr>
                  <w:tcW w:w="103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olor w:val="000000"/>
                      <w:kern w:val="0"/>
                      <w:sz w:val="16"/>
                      <w:szCs w:val="16"/>
                      <w:lang w:val="en-US" w:eastAsia="zh-CN" w:bidi="ar"/>
                    </w:rPr>
                    <w:t> </w:t>
                  </w:r>
                </w:p>
              </w:tc>
              <w:tc>
                <w:tcPr>
                  <w:tcW w:w="33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i w:val="0"/>
                      <w:color w:val="000000"/>
                      <w:kern w:val="0"/>
                      <w:sz w:val="16"/>
                      <w:szCs w:val="16"/>
                      <w:lang w:val="en-US" w:eastAsia="zh-CN" w:bidi="ar"/>
                    </w:rPr>
                    <w:t> </w:t>
                  </w:r>
                </w:p>
              </w:tc>
            </w:tr>
          </w:tbl>
          <w:p>
            <w:pPr>
              <w:pStyle w:val="3"/>
              <w:keepNext w:val="0"/>
              <w:keepLines w:val="0"/>
              <w:widowControl/>
              <w:suppressLineNumbers w:val="0"/>
              <w:shd w:val="clear" w:fill="FFFFFF"/>
              <w:spacing w:before="0" w:beforeAutospacing="1" w:after="420" w:afterAutospacing="0" w:line="420" w:lineRule="atLeast"/>
              <w:ind w:left="0" w:right="0"/>
            </w:pPr>
            <w:r>
              <w:rPr>
                <w:rFonts w:hint="eastAsia" w:ascii="微软雅黑" w:hAnsi="微软雅黑" w:eastAsia="微软雅黑" w:cs="微软雅黑"/>
                <w:b/>
                <w:caps w:val="0"/>
                <w:spacing w:val="0"/>
                <w:sz w:val="24"/>
                <w:szCs w:val="24"/>
                <w:shd w:val="clear" w:fill="FFFFFF"/>
              </w:rPr>
              <w:t> </w:t>
            </w:r>
          </w:p>
          <w:p>
            <w:pPr>
              <w:pStyle w:val="3"/>
              <w:keepNext w:val="0"/>
              <w:keepLines w:val="0"/>
              <w:widowControl/>
              <w:suppressLineNumbers w:val="0"/>
              <w:shd w:val="clear" w:fill="FFFFFF"/>
              <w:spacing w:before="0" w:beforeAutospacing="1" w:after="420" w:afterAutospacing="0" w:line="24" w:lineRule="atLeast"/>
              <w:ind w:left="0" w:right="0"/>
            </w:pPr>
            <w:r>
              <w:rPr>
                <w:rFonts w:hint="eastAsia" w:ascii="微软雅黑" w:hAnsi="微软雅黑" w:eastAsia="微软雅黑" w:cs="微软雅黑"/>
                <w:b/>
                <w:caps w:val="0"/>
                <w:spacing w:val="0"/>
                <w:sz w:val="24"/>
                <w:szCs w:val="24"/>
                <w:shd w:val="clear" w:fill="FFFFFF"/>
              </w:rPr>
              <w:t>三、重点楼盘</w:t>
            </w:r>
          </w:p>
          <w:p>
            <w:pPr>
              <w:pStyle w:val="3"/>
              <w:keepNext w:val="0"/>
              <w:keepLines w:val="0"/>
              <w:widowControl/>
              <w:suppressLineNumbers w:val="0"/>
              <w:shd w:val="clear" w:fill="FFFFFF"/>
              <w:spacing w:before="0" w:beforeAutospacing="1" w:after="420" w:afterAutospacing="0" w:line="400" w:lineRule="atLeast"/>
              <w:ind w:left="0" w:right="0"/>
            </w:pPr>
            <w:r>
              <w:rPr>
                <w:rFonts w:hint="eastAsia" w:ascii="微软雅黑" w:hAnsi="微软雅黑" w:eastAsia="微软雅黑" w:cs="微软雅黑"/>
                <w:b/>
                <w:caps w:val="0"/>
                <w:spacing w:val="0"/>
                <w:sz w:val="24"/>
                <w:szCs w:val="24"/>
                <w:shd w:val="clear" w:fill="FFFFFF"/>
              </w:rPr>
              <w:t>（一）保利·香槟国际</w:t>
            </w:r>
          </w:p>
          <w:p>
            <w:pPr>
              <w:pStyle w:val="3"/>
              <w:keepNext w:val="0"/>
              <w:keepLines w:val="0"/>
              <w:widowControl/>
              <w:suppressLineNumbers w:val="0"/>
              <w:shd w:val="clear" w:fill="FFFFFF"/>
              <w:spacing w:before="0" w:beforeAutospacing="1" w:after="0" w:afterAutospacing="1" w:line="400" w:lineRule="atLeast"/>
              <w:ind w:left="0" w:right="0"/>
            </w:pPr>
            <w:r>
              <w:rPr>
                <w:rFonts w:hint="eastAsia" w:ascii="微软雅黑" w:hAnsi="微软雅黑" w:eastAsia="微软雅黑" w:cs="微软雅黑"/>
                <w:caps w:val="0"/>
                <w:spacing w:val="0"/>
                <w:sz w:val="21"/>
                <w:szCs w:val="21"/>
                <w:shd w:val="clear" w:fill="FFFFFF"/>
              </w:rPr>
              <w:t>1、基本信息：</w:t>
            </w:r>
          </w:p>
          <w:tbl>
            <w:tblPr>
              <w:tblStyle w:val="4"/>
              <w:tblW w:w="8325" w:type="dxa"/>
              <w:tblInd w:w="106" w:type="dxa"/>
              <w:shd w:val="clear" w:color="auto" w:fill="auto"/>
              <w:tblLayout w:type="fixed"/>
              <w:tblCellMar>
                <w:top w:w="15" w:type="dxa"/>
                <w:left w:w="15" w:type="dxa"/>
                <w:bottom w:w="15" w:type="dxa"/>
                <w:right w:w="15" w:type="dxa"/>
              </w:tblCellMar>
            </w:tblPr>
            <w:tblGrid>
              <w:gridCol w:w="1620"/>
              <w:gridCol w:w="2490"/>
              <w:gridCol w:w="1485"/>
              <w:gridCol w:w="2730"/>
            </w:tblGrid>
            <w:tr>
              <w:tblPrEx>
                <w:tblCellMar>
                  <w:top w:w="15" w:type="dxa"/>
                  <w:left w:w="15" w:type="dxa"/>
                  <w:bottom w:w="15" w:type="dxa"/>
                  <w:right w:w="15" w:type="dxa"/>
                </w:tblCellMar>
              </w:tblPrEx>
              <w:trPr>
                <w:trHeight w:val="443" w:hRule="atLeast"/>
              </w:trPr>
              <w:tc>
                <w:tcPr>
                  <w:tcW w:w="1620" w:type="dxa"/>
                  <w:tcBorders>
                    <w:top w:val="single" w:color="A6A6A6" w:sz="8" w:space="0"/>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项目位置</w:t>
                  </w:r>
                </w:p>
              </w:tc>
              <w:tc>
                <w:tcPr>
                  <w:tcW w:w="2490" w:type="dxa"/>
                  <w:tcBorders>
                    <w:top w:val="single" w:color="A6A6A6" w:sz="8" w:space="0"/>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夷陵区黄金路与金发路交汇处</w:t>
                  </w:r>
                </w:p>
              </w:tc>
              <w:tc>
                <w:tcPr>
                  <w:tcW w:w="1485" w:type="dxa"/>
                  <w:tcBorders>
                    <w:top w:val="single" w:color="A6A6A6" w:sz="8" w:space="0"/>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建筑类型</w:t>
                  </w:r>
                </w:p>
              </w:tc>
              <w:tc>
                <w:tcPr>
                  <w:tcW w:w="2730" w:type="dxa"/>
                  <w:tcBorders>
                    <w:top w:val="single" w:color="A6A6A6" w:sz="8" w:space="0"/>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板楼、高层</w:t>
                  </w:r>
                </w:p>
              </w:tc>
            </w:tr>
            <w:tr>
              <w:tblPrEx>
                <w:shd w:val="clear" w:color="auto" w:fill="auto"/>
                <w:tblCellMar>
                  <w:top w:w="15" w:type="dxa"/>
                  <w:left w:w="15" w:type="dxa"/>
                  <w:bottom w:w="15" w:type="dxa"/>
                  <w:right w:w="15" w:type="dxa"/>
                </w:tblCellMar>
              </w:tblPrEx>
              <w:trPr>
                <w:trHeight w:val="491"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开发商</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宜昌金夷置业有限公司</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交房时间</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2020年</w:t>
                  </w:r>
                </w:p>
              </w:tc>
            </w:tr>
            <w:tr>
              <w:tblPrEx>
                <w:shd w:val="clear" w:color="auto" w:fill="auto"/>
                <w:tblCellMar>
                  <w:top w:w="15" w:type="dxa"/>
                  <w:left w:w="15" w:type="dxa"/>
                  <w:bottom w:w="15" w:type="dxa"/>
                  <w:right w:w="15" w:type="dxa"/>
                </w:tblCellMar>
              </w:tblPrEx>
              <w:trPr>
                <w:trHeight w:val="515"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建筑面积/占地面积</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12方方/3万方</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总户数</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722户</w:t>
                  </w:r>
                </w:p>
              </w:tc>
            </w:tr>
            <w:tr>
              <w:tblPrEx>
                <w:shd w:val="clear" w:color="auto" w:fill="auto"/>
                <w:tblCellMar>
                  <w:top w:w="15" w:type="dxa"/>
                  <w:left w:w="15" w:type="dxa"/>
                  <w:bottom w:w="15" w:type="dxa"/>
                  <w:right w:w="15" w:type="dxa"/>
                </w:tblCellMar>
              </w:tblPrEx>
              <w:trPr>
                <w:trHeight w:val="409"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容积率/绿化率</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3.00/30%</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层高</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2.9米</w:t>
                  </w:r>
                </w:p>
              </w:tc>
            </w:tr>
            <w:tr>
              <w:tblPrEx>
                <w:shd w:val="clear" w:color="auto" w:fill="auto"/>
                <w:tblCellMar>
                  <w:top w:w="15" w:type="dxa"/>
                  <w:left w:w="15" w:type="dxa"/>
                  <w:bottom w:w="15" w:type="dxa"/>
                  <w:right w:w="15" w:type="dxa"/>
                </w:tblCellMar>
              </w:tblPrEx>
              <w:trPr>
                <w:trHeight w:val="389"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装修状况</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毛坯</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物管公司</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保利（武汉）物业管理有限公司</w:t>
                  </w:r>
                </w:p>
              </w:tc>
            </w:tr>
            <w:tr>
              <w:tblPrEx>
                <w:shd w:val="clear" w:color="auto" w:fill="auto"/>
                <w:tblCellMar>
                  <w:top w:w="15" w:type="dxa"/>
                  <w:left w:w="15" w:type="dxa"/>
                  <w:bottom w:w="15" w:type="dxa"/>
                  <w:right w:w="15" w:type="dxa"/>
                </w:tblCellMar>
              </w:tblPrEx>
              <w:trPr>
                <w:trHeight w:val="473"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主要户型</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3+2+2</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物业费</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1.7元/㎡/月</w:t>
                  </w:r>
                </w:p>
              </w:tc>
            </w:tr>
            <w:tr>
              <w:tblPrEx>
                <w:shd w:val="clear" w:color="auto" w:fill="auto"/>
                <w:tblCellMar>
                  <w:top w:w="15" w:type="dxa"/>
                  <w:left w:w="15" w:type="dxa"/>
                  <w:bottom w:w="15" w:type="dxa"/>
                  <w:right w:w="15" w:type="dxa"/>
                </w:tblCellMar>
              </w:tblPrEx>
              <w:trPr>
                <w:trHeight w:val="373"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价格</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均价7250元/㎡</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目前销售动态</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首开剩余在售中</w:t>
                  </w:r>
                </w:p>
              </w:tc>
            </w:tr>
            <w:tr>
              <w:tblPrEx>
                <w:shd w:val="clear" w:color="auto" w:fill="auto"/>
                <w:tblCellMar>
                  <w:top w:w="15" w:type="dxa"/>
                  <w:left w:w="15" w:type="dxa"/>
                  <w:bottom w:w="15" w:type="dxa"/>
                  <w:right w:w="15" w:type="dxa"/>
                </w:tblCellMar>
              </w:tblPrEx>
              <w:trPr>
                <w:trHeight w:val="389" w:hRule="atLeast"/>
              </w:trPr>
              <w:tc>
                <w:tcPr>
                  <w:tcW w:w="1620"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产品面积段</w:t>
                  </w:r>
                </w:p>
              </w:tc>
              <w:tc>
                <w:tcPr>
                  <w:tcW w:w="249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105-140㎡</w:t>
                  </w:r>
                </w:p>
              </w:tc>
              <w:tc>
                <w:tcPr>
                  <w:tcW w:w="148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折扣及优惠</w:t>
                  </w:r>
                </w:p>
              </w:tc>
              <w:tc>
                <w:tcPr>
                  <w:tcW w:w="2730"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98折</w:t>
                  </w:r>
                </w:p>
              </w:tc>
            </w:tr>
          </w:tbl>
          <w:p>
            <w:pPr>
              <w:pStyle w:val="3"/>
              <w:keepNext w:val="0"/>
              <w:keepLines w:val="0"/>
              <w:widowControl/>
              <w:suppressLineNumbers w:val="0"/>
              <w:shd w:val="clear" w:fill="FFFFFF"/>
              <w:spacing w:before="0" w:beforeAutospacing="1" w:after="0" w:afterAutospacing="1" w:line="24" w:lineRule="atLeast"/>
              <w:ind w:left="0" w:right="0"/>
            </w:pPr>
            <w:r>
              <w:rPr>
                <w:rFonts w:hint="eastAsia" w:ascii="微软雅黑" w:hAnsi="微软雅黑" w:eastAsia="微软雅黑" w:cs="微软雅黑"/>
                <w:caps w:val="0"/>
                <w:spacing w:val="0"/>
                <w:sz w:val="21"/>
                <w:szCs w:val="21"/>
                <w:shd w:val="clear" w:fill="FFFFFF"/>
              </w:rPr>
              <w:t>2、开盘情况回顾：</w:t>
            </w:r>
          </w:p>
          <w:p>
            <w:pPr>
              <w:keepNext w:val="0"/>
              <w:keepLines w:val="0"/>
              <w:widowControl/>
              <w:suppressLineNumbers w:val="0"/>
              <w:spacing w:before="0" w:beforeAutospacing="1" w:after="0" w:afterAutospacing="1" w:line="216" w:lineRule="atLeast"/>
              <w:ind w:left="420" w:right="0" w:hanging="420"/>
              <w:jc w:val="left"/>
            </w:pPr>
            <w:r>
              <w:rPr>
                <w:rFonts w:ascii="Wingdings" w:hAnsi="Wingdings" w:eastAsia="宋体" w:cs="Wingdings"/>
                <w:caps w:val="0"/>
                <w:spacing w:val="0"/>
                <w:kern w:val="0"/>
                <w:sz w:val="21"/>
                <w:szCs w:val="21"/>
                <w:shd w:val="clear" w:fill="FFFFFF"/>
                <w:lang w:val="en-US" w:eastAsia="zh-CN" w:bidi="ar"/>
              </w:rPr>
              <w:t>l</w:t>
            </w:r>
            <w:r>
              <w:rPr>
                <w:rFonts w:hint="default" w:ascii="Wingdings" w:hAnsi="Wingdings" w:eastAsia="宋体" w:cs="Wingdings"/>
                <w:caps w:val="0"/>
                <w:spacing w:val="0"/>
                <w:kern w:val="0"/>
                <w:sz w:val="21"/>
                <w:szCs w:val="21"/>
                <w:shd w:val="clear" w:fill="FFFFFF"/>
                <w:lang w:val="en-US" w:eastAsia="zh-CN" w:bidi="ar"/>
              </w:rPr>
              <w:t> </w:t>
            </w:r>
            <w:r>
              <w:rPr>
                <w:rFonts w:hint="eastAsia" w:ascii="微软雅黑" w:hAnsi="微软雅黑" w:eastAsia="微软雅黑" w:cs="微软雅黑"/>
                <w:caps w:val="0"/>
                <w:spacing w:val="0"/>
                <w:kern w:val="0"/>
                <w:sz w:val="21"/>
                <w:szCs w:val="21"/>
                <w:shd w:val="clear" w:fill="FFFFFF"/>
                <w:lang w:val="en-US" w:eastAsia="zh-CN" w:bidi="ar"/>
              </w:rPr>
              <w:t>首推6#楼，30层，1个单元，两梯四户，</w:t>
            </w:r>
            <w:r>
              <w:rPr>
                <w:rFonts w:hint="eastAsia" w:ascii="微软雅黑" w:hAnsi="微软雅黑" w:eastAsia="微软雅黑" w:cs="微软雅黑"/>
                <w:b/>
                <w:caps w:val="0"/>
                <w:spacing w:val="0"/>
                <w:kern w:val="0"/>
                <w:sz w:val="21"/>
                <w:szCs w:val="21"/>
                <w:shd w:val="clear" w:fill="FFFFFF"/>
                <w:lang w:val="en-US" w:eastAsia="zh-CN" w:bidi="ar"/>
              </w:rPr>
              <w:t>实际可售房源共114套</w:t>
            </w:r>
            <w:r>
              <w:rPr>
                <w:rFonts w:hint="eastAsia" w:ascii="微软雅黑" w:hAnsi="微软雅黑" w:eastAsia="微软雅黑" w:cs="微软雅黑"/>
                <w:caps w:val="0"/>
                <w:spacing w:val="0"/>
                <w:kern w:val="0"/>
                <w:sz w:val="21"/>
                <w:szCs w:val="21"/>
                <w:shd w:val="clear" w:fill="FFFFFF"/>
                <w:lang w:val="en-US" w:eastAsia="zh-CN" w:bidi="ar"/>
              </w:rPr>
              <w:t>。中套107.11㎡，边套125.13㎡，均为3室2厅2卫。</w:t>
            </w:r>
          </w:p>
          <w:p>
            <w:pPr>
              <w:keepNext w:val="0"/>
              <w:keepLines w:val="0"/>
              <w:widowControl/>
              <w:suppressLineNumbers w:val="0"/>
              <w:spacing w:before="0" w:beforeAutospacing="1" w:after="0" w:afterAutospacing="1" w:line="216" w:lineRule="atLeast"/>
              <w:ind w:left="420" w:right="0" w:hanging="420"/>
              <w:jc w:val="left"/>
            </w:pPr>
            <w:r>
              <w:rPr>
                <w:rFonts w:hint="default" w:ascii="Wingdings" w:hAnsi="Wingdings" w:eastAsia="宋体" w:cs="Wingdings"/>
                <w:caps w:val="0"/>
                <w:spacing w:val="0"/>
                <w:kern w:val="0"/>
                <w:sz w:val="21"/>
                <w:szCs w:val="21"/>
                <w:shd w:val="clear" w:fill="FFFFFF"/>
                <w:lang w:val="en-US" w:eastAsia="zh-CN" w:bidi="ar"/>
              </w:rPr>
              <w:t>l </w:t>
            </w:r>
            <w:r>
              <w:rPr>
                <w:rFonts w:hint="eastAsia" w:ascii="微软雅黑" w:hAnsi="微软雅黑" w:eastAsia="微软雅黑" w:cs="微软雅黑"/>
                <w:caps w:val="0"/>
                <w:spacing w:val="0"/>
                <w:kern w:val="0"/>
                <w:sz w:val="21"/>
                <w:szCs w:val="21"/>
                <w:shd w:val="clear" w:fill="FFFFFF"/>
                <w:lang w:val="en-US" w:eastAsia="zh-CN" w:bidi="ar"/>
              </w:rPr>
              <w:t>累计认筹约125组，11月25日上午9点在现场正式开始摇号选房，现场到场客户约107组，摇号28轮，每轮4组，10点摇号结束，</w:t>
            </w:r>
            <w:r>
              <w:rPr>
                <w:rFonts w:hint="eastAsia" w:ascii="微软雅黑" w:hAnsi="微软雅黑" w:eastAsia="微软雅黑" w:cs="微软雅黑"/>
                <w:b/>
                <w:caps w:val="0"/>
                <w:spacing w:val="0"/>
                <w:kern w:val="0"/>
                <w:sz w:val="21"/>
                <w:szCs w:val="21"/>
                <w:shd w:val="clear" w:fill="FFFFFF"/>
                <w:lang w:val="en-US" w:eastAsia="zh-CN" w:bidi="ar"/>
              </w:rPr>
              <w:t>当天认购约60套左右，去化率53%。</w:t>
            </w:r>
          </w:p>
          <w:p>
            <w:pPr>
              <w:pStyle w:val="3"/>
              <w:keepNext w:val="0"/>
              <w:keepLines w:val="0"/>
              <w:widowControl/>
              <w:suppressLineNumbers w:val="0"/>
              <w:shd w:val="clear" w:fill="FFFFFF"/>
              <w:spacing w:before="0" w:beforeAutospacing="1" w:after="0" w:afterAutospacing="1" w:line="24" w:lineRule="atLeast"/>
              <w:ind w:left="0" w:right="0"/>
            </w:pPr>
            <w:r>
              <w:rPr>
                <w:rFonts w:hint="eastAsia" w:ascii="宋体" w:hAnsi="宋体" w:eastAsia="宋体" w:cs="宋体"/>
                <w:caps w:val="0"/>
                <w:spacing w:val="0"/>
                <w:sz w:val="24"/>
                <w:szCs w:val="24"/>
                <w:shd w:val="clear" w:fill="FFFFFF"/>
              </w:rPr>
              <w:t>       </w:t>
            </w:r>
            <w:r>
              <w:rPr>
                <w:rFonts w:hint="eastAsia" w:ascii="宋体" w:hAnsi="宋体" w:eastAsia="宋体" w:cs="宋体"/>
                <w:caps w:val="0"/>
                <w:spacing w:val="0"/>
                <w:sz w:val="24"/>
                <w:szCs w:val="24"/>
                <w:shd w:val="clear" w:fill="FFFFFF"/>
              </w:rPr>
              <w:drawing>
                <wp:inline distT="0" distB="0" distL="114300" distR="114300">
                  <wp:extent cx="4933950" cy="2333625"/>
                  <wp:effectExtent l="0" t="0" r="3810" b="13335"/>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7"/>
                          <a:stretch>
                            <a:fillRect/>
                          </a:stretch>
                        </pic:blipFill>
                        <pic:spPr>
                          <a:xfrm>
                            <a:off x="0" y="0"/>
                            <a:ext cx="4933950" cy="2333625"/>
                          </a:xfrm>
                          <a:prstGeom prst="rect">
                            <a:avLst/>
                          </a:prstGeom>
                          <a:noFill/>
                          <a:ln w="9525">
                            <a:noFill/>
                          </a:ln>
                        </pic:spPr>
                      </pic:pic>
                    </a:graphicData>
                  </a:graphic>
                </wp:inline>
              </w:drawing>
            </w:r>
            <w:r>
              <w:rPr>
                <w:rFonts w:hint="eastAsia" w:ascii="宋体" w:hAnsi="宋体" w:eastAsia="宋体" w:cs="宋体"/>
                <w:caps w:val="0"/>
                <w:spacing w:val="0"/>
                <w:sz w:val="24"/>
                <w:szCs w:val="24"/>
                <w:shd w:val="clear" w:fill="FFFFFF"/>
              </w:rPr>
              <w:t>  </w:t>
            </w:r>
          </w:p>
          <w:p>
            <w:pPr>
              <w:keepNext w:val="0"/>
              <w:keepLines w:val="0"/>
              <w:widowControl/>
              <w:suppressLineNumbers w:val="0"/>
              <w:spacing w:before="0" w:beforeAutospacing="1" w:after="0" w:afterAutospacing="1" w:line="216" w:lineRule="atLeast"/>
              <w:ind w:left="420" w:right="0" w:hanging="420"/>
              <w:jc w:val="left"/>
            </w:pPr>
            <w:r>
              <w:rPr>
                <w:rFonts w:hint="default" w:ascii="Wingdings" w:hAnsi="Wingdings" w:eastAsia="宋体" w:cs="Wingdings"/>
                <w:b/>
                <w:caps w:val="0"/>
                <w:spacing w:val="0"/>
                <w:kern w:val="0"/>
                <w:sz w:val="21"/>
                <w:szCs w:val="21"/>
                <w:shd w:val="clear" w:fill="FFFFFF"/>
                <w:lang w:val="en-US" w:eastAsia="zh-CN" w:bidi="ar"/>
              </w:rPr>
              <w:t>l </w:t>
            </w:r>
            <w:r>
              <w:rPr>
                <w:rFonts w:hint="eastAsia" w:ascii="微软雅黑" w:hAnsi="微软雅黑" w:eastAsia="微软雅黑" w:cs="微软雅黑"/>
                <w:b/>
                <w:caps w:val="0"/>
                <w:spacing w:val="0"/>
                <w:kern w:val="0"/>
                <w:sz w:val="21"/>
                <w:szCs w:val="21"/>
                <w:shd w:val="clear" w:fill="FFFFFF"/>
                <w:lang w:val="en-US" w:eastAsia="zh-CN" w:bidi="ar"/>
              </w:rPr>
              <w:t>整栋高层整体均价7398元/㎡，高层实际98折后整体均价7250元/㎡</w:t>
            </w:r>
            <w:r>
              <w:rPr>
                <w:rFonts w:hint="eastAsia" w:ascii="微软雅黑" w:hAnsi="微软雅黑" w:eastAsia="微软雅黑" w:cs="微软雅黑"/>
                <w:caps w:val="0"/>
                <w:spacing w:val="0"/>
                <w:kern w:val="0"/>
                <w:sz w:val="21"/>
                <w:szCs w:val="21"/>
                <w:shd w:val="clear" w:fill="FFFFFF"/>
                <w:lang w:val="en-US" w:eastAsia="zh-CN" w:bidi="ar"/>
              </w:rPr>
              <w:t>。从5—29层价格逐渐上涨，5层价格最低，29层价格最高，层差5-31元。仅认筹享受9.8折，无其他优惠。</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val="0"/>
                <w:caps w:val="0"/>
                <w:spacing w:val="0"/>
                <w:kern w:val="0"/>
                <w:sz w:val="24"/>
                <w:szCs w:val="24"/>
                <w:lang w:val="en-US" w:eastAsia="zh-CN" w:bidi="ar"/>
              </w:rPr>
              <w:t> </w:t>
            </w:r>
          </w:p>
          <w:p>
            <w:pPr>
              <w:pStyle w:val="3"/>
              <w:keepNext w:val="0"/>
              <w:keepLines w:val="0"/>
              <w:widowControl/>
              <w:suppressLineNumbers w:val="0"/>
              <w:shd w:val="clear" w:fill="FFFFFF"/>
              <w:spacing w:before="0" w:beforeAutospacing="1" w:after="420" w:afterAutospacing="0" w:line="400" w:lineRule="atLeast"/>
              <w:ind w:left="0" w:right="0"/>
            </w:pPr>
            <w:r>
              <w:rPr>
                <w:rFonts w:hint="eastAsia" w:ascii="微软雅黑" w:hAnsi="微软雅黑" w:eastAsia="微软雅黑" w:cs="微软雅黑"/>
                <w:b/>
                <w:caps w:val="0"/>
                <w:spacing w:val="0"/>
                <w:sz w:val="24"/>
                <w:szCs w:val="24"/>
                <w:shd w:val="clear" w:fill="FFFFFF"/>
              </w:rPr>
              <w:t>（二）保利·罗兰香谷</w:t>
            </w:r>
          </w:p>
          <w:p>
            <w:pPr>
              <w:pStyle w:val="3"/>
              <w:keepNext w:val="0"/>
              <w:keepLines w:val="0"/>
              <w:widowControl/>
              <w:suppressLineNumbers w:val="0"/>
              <w:shd w:val="clear" w:fill="FFFFFF"/>
              <w:spacing w:before="0" w:beforeAutospacing="1" w:after="0" w:afterAutospacing="1" w:line="400" w:lineRule="atLeast"/>
              <w:ind w:left="0" w:right="0"/>
            </w:pPr>
            <w:r>
              <w:rPr>
                <w:rFonts w:hint="eastAsia" w:ascii="微软雅黑" w:hAnsi="微软雅黑" w:eastAsia="微软雅黑" w:cs="微软雅黑"/>
                <w:caps w:val="0"/>
                <w:spacing w:val="0"/>
                <w:sz w:val="21"/>
                <w:szCs w:val="21"/>
                <w:shd w:val="clear" w:fill="FFFFFF"/>
              </w:rPr>
              <w:t>1、基本信息：</w:t>
            </w:r>
          </w:p>
          <w:tbl>
            <w:tblPr>
              <w:tblStyle w:val="4"/>
              <w:tblW w:w="8325" w:type="dxa"/>
              <w:tblInd w:w="121" w:type="dxa"/>
              <w:shd w:val="clear" w:color="auto" w:fill="auto"/>
              <w:tblLayout w:type="fixed"/>
              <w:tblCellMar>
                <w:top w:w="15" w:type="dxa"/>
                <w:left w:w="15" w:type="dxa"/>
                <w:bottom w:w="15" w:type="dxa"/>
                <w:right w:w="15" w:type="dxa"/>
              </w:tblCellMar>
            </w:tblPr>
            <w:tblGrid>
              <w:gridCol w:w="1578"/>
              <w:gridCol w:w="2547"/>
              <w:gridCol w:w="1635"/>
              <w:gridCol w:w="2565"/>
            </w:tblGrid>
            <w:tr>
              <w:tblPrEx>
                <w:tblCellMar>
                  <w:top w:w="15" w:type="dxa"/>
                  <w:left w:w="15" w:type="dxa"/>
                  <w:bottom w:w="15" w:type="dxa"/>
                  <w:right w:w="15" w:type="dxa"/>
                </w:tblCellMar>
              </w:tblPrEx>
              <w:trPr>
                <w:trHeight w:val="529" w:hRule="atLeast"/>
              </w:trPr>
              <w:tc>
                <w:tcPr>
                  <w:tcW w:w="1578" w:type="dxa"/>
                  <w:tcBorders>
                    <w:top w:val="single" w:color="A6A6A6" w:sz="8" w:space="0"/>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项目位置</w:t>
                  </w:r>
                </w:p>
              </w:tc>
              <w:tc>
                <w:tcPr>
                  <w:tcW w:w="2547" w:type="dxa"/>
                  <w:tcBorders>
                    <w:top w:val="single" w:color="A6A6A6" w:sz="8" w:space="0"/>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东方大道与发展大道交汇处</w:t>
                  </w:r>
                </w:p>
              </w:tc>
              <w:tc>
                <w:tcPr>
                  <w:tcW w:w="1635" w:type="dxa"/>
                  <w:tcBorders>
                    <w:top w:val="single" w:color="A6A6A6" w:sz="8" w:space="0"/>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建筑类型</w:t>
                  </w:r>
                </w:p>
              </w:tc>
              <w:tc>
                <w:tcPr>
                  <w:tcW w:w="2565" w:type="dxa"/>
                  <w:tcBorders>
                    <w:top w:val="single" w:color="A6A6A6" w:sz="8" w:space="0"/>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高层 洋房 别墅</w:t>
                  </w:r>
                </w:p>
              </w:tc>
            </w:tr>
            <w:tr>
              <w:tblPrEx>
                <w:tblCellMar>
                  <w:top w:w="15" w:type="dxa"/>
                  <w:left w:w="15" w:type="dxa"/>
                  <w:bottom w:w="15" w:type="dxa"/>
                  <w:right w:w="15" w:type="dxa"/>
                </w:tblCellMar>
              </w:tblPrEx>
              <w:trPr>
                <w:trHeight w:val="474"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开发商</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宜昌金夷置业有限公司</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交房时间</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2020年</w:t>
                  </w:r>
                </w:p>
              </w:tc>
            </w:tr>
            <w:tr>
              <w:tblPrEx>
                <w:tblCellMar>
                  <w:top w:w="15" w:type="dxa"/>
                  <w:left w:w="15" w:type="dxa"/>
                  <w:bottom w:w="15" w:type="dxa"/>
                  <w:right w:w="15" w:type="dxa"/>
                </w:tblCellMar>
              </w:tblPrEx>
              <w:trPr>
                <w:trHeight w:val="423"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建筑面积</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13.6方方</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总户数</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724户</w:t>
                  </w:r>
                </w:p>
              </w:tc>
            </w:tr>
            <w:tr>
              <w:tblPrEx>
                <w:tblCellMar>
                  <w:top w:w="15" w:type="dxa"/>
                  <w:left w:w="15" w:type="dxa"/>
                  <w:bottom w:w="15" w:type="dxa"/>
                  <w:right w:w="15" w:type="dxa"/>
                </w:tblCellMar>
              </w:tblPrEx>
              <w:trPr>
                <w:trHeight w:val="449"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容积率/绿化率</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1.40/38%</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层高</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2.9米</w:t>
                  </w:r>
                </w:p>
              </w:tc>
            </w:tr>
            <w:tr>
              <w:tblPrEx>
                <w:tblCellMar>
                  <w:top w:w="15" w:type="dxa"/>
                  <w:left w:w="15" w:type="dxa"/>
                  <w:bottom w:w="15" w:type="dxa"/>
                  <w:right w:w="15" w:type="dxa"/>
                </w:tblCellMar>
              </w:tblPrEx>
              <w:trPr>
                <w:trHeight w:val="540"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装修状况</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毛坯</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物管公司</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保利（武汉）物业管理有限公司</w:t>
                  </w:r>
                </w:p>
              </w:tc>
            </w:tr>
            <w:tr>
              <w:tblPrEx>
                <w:tblCellMar>
                  <w:top w:w="15" w:type="dxa"/>
                  <w:left w:w="15" w:type="dxa"/>
                  <w:bottom w:w="15" w:type="dxa"/>
                  <w:right w:w="15" w:type="dxa"/>
                </w:tblCellMar>
              </w:tblPrEx>
              <w:trPr>
                <w:trHeight w:val="477"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主要户型</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3+2+2</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物业费</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1.7元/㎡/月</w:t>
                  </w:r>
                </w:p>
              </w:tc>
            </w:tr>
            <w:tr>
              <w:tblPrEx>
                <w:tblCellMar>
                  <w:top w:w="15" w:type="dxa"/>
                  <w:left w:w="15" w:type="dxa"/>
                  <w:bottom w:w="15" w:type="dxa"/>
                  <w:right w:w="15" w:type="dxa"/>
                </w:tblCellMar>
              </w:tblPrEx>
              <w:trPr>
                <w:trHeight w:val="445"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价格</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7000元/㎡</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目前销售动态</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首开3#楼</w:t>
                  </w:r>
                </w:p>
              </w:tc>
            </w:tr>
            <w:tr>
              <w:tblPrEx>
                <w:shd w:val="clear" w:color="auto" w:fill="auto"/>
                <w:tblCellMar>
                  <w:top w:w="15" w:type="dxa"/>
                  <w:left w:w="15" w:type="dxa"/>
                  <w:bottom w:w="15" w:type="dxa"/>
                  <w:right w:w="15" w:type="dxa"/>
                </w:tblCellMar>
              </w:tblPrEx>
              <w:trPr>
                <w:trHeight w:val="486" w:hRule="atLeast"/>
              </w:trPr>
              <w:tc>
                <w:tcPr>
                  <w:tcW w:w="1578"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产品面积段</w:t>
                  </w:r>
                </w:p>
              </w:tc>
              <w:tc>
                <w:tcPr>
                  <w:tcW w:w="2547"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105-125㎡</w:t>
                  </w:r>
                </w:p>
              </w:tc>
              <w:tc>
                <w:tcPr>
                  <w:tcW w:w="1635" w:type="dxa"/>
                  <w:tcBorders>
                    <w:top w:val="nil"/>
                    <w:left w:val="nil"/>
                    <w:bottom w:val="single" w:color="A6A6A6" w:sz="8" w:space="0"/>
                    <w:right w:val="single" w:color="A6A6A6" w:sz="8" w:space="0"/>
                  </w:tcBorders>
                  <w:shd w:val="clear" w:color="auto" w:fill="FFC000"/>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折扣及优惠</w:t>
                  </w:r>
                </w:p>
              </w:tc>
              <w:tc>
                <w:tcPr>
                  <w:tcW w:w="2565" w:type="dxa"/>
                  <w:tcBorders>
                    <w:top w:val="nil"/>
                    <w:left w:val="nil"/>
                    <w:bottom w:val="single" w:color="A6A6A6" w:sz="8" w:space="0"/>
                    <w:right w:val="single" w:color="A6A6A6" w:sz="8" w:space="0"/>
                  </w:tcBorders>
                  <w:shd w:val="clear" w:color="auto" w:fill="auto"/>
                  <w:tcMar>
                    <w:top w:w="57" w:type="dxa"/>
                    <w:left w:w="117" w:type="dxa"/>
                    <w:bottom w:w="57" w:type="dxa"/>
                    <w:right w:w="117" w:type="dxa"/>
                  </w:tcMar>
                  <w:vAlign w:val="center"/>
                </w:tcPr>
                <w:p>
                  <w:pPr>
                    <w:pStyle w:val="3"/>
                    <w:keepNext w:val="0"/>
                    <w:keepLines w:val="0"/>
                    <w:widowControl/>
                    <w:suppressLineNumbers w:val="0"/>
                    <w:spacing w:before="0" w:beforeAutospacing="1" w:after="0" w:afterAutospacing="1"/>
                    <w:ind w:left="0" w:right="0"/>
                    <w:jc w:val="center"/>
                  </w:pPr>
                  <w:r>
                    <w:rPr>
                      <w:rFonts w:hint="eastAsia" w:ascii="微软雅黑" w:hAnsi="微软雅黑" w:eastAsia="微软雅黑" w:cs="微软雅黑"/>
                      <w:color w:val="000000"/>
                      <w:sz w:val="16"/>
                      <w:szCs w:val="16"/>
                    </w:rPr>
                    <w:t>无</w:t>
                  </w:r>
                </w:p>
              </w:tc>
            </w:tr>
          </w:tbl>
          <w:p>
            <w:pPr>
              <w:pStyle w:val="3"/>
              <w:keepNext w:val="0"/>
              <w:keepLines w:val="0"/>
              <w:widowControl/>
              <w:suppressLineNumbers w:val="0"/>
              <w:shd w:val="clear" w:fill="FFFFFF"/>
              <w:spacing w:before="0" w:beforeAutospacing="1" w:after="0" w:afterAutospacing="1" w:line="24" w:lineRule="atLeast"/>
              <w:ind w:left="0" w:right="0"/>
            </w:pPr>
            <w:r>
              <w:rPr>
                <w:rFonts w:hint="eastAsia" w:ascii="微软雅黑" w:hAnsi="微软雅黑" w:eastAsia="微软雅黑" w:cs="微软雅黑"/>
                <w:caps w:val="0"/>
                <w:spacing w:val="0"/>
                <w:sz w:val="21"/>
                <w:szCs w:val="21"/>
                <w:shd w:val="clear" w:fill="FFFFFF"/>
              </w:rPr>
              <w:t> </w:t>
            </w:r>
          </w:p>
          <w:p>
            <w:pPr>
              <w:pStyle w:val="3"/>
              <w:keepNext w:val="0"/>
              <w:keepLines w:val="0"/>
              <w:widowControl/>
              <w:suppressLineNumbers w:val="0"/>
              <w:shd w:val="clear" w:fill="FFFFFF"/>
              <w:spacing w:before="0" w:beforeAutospacing="1" w:after="0" w:afterAutospacing="1" w:line="24" w:lineRule="atLeast"/>
              <w:ind w:left="0" w:right="0"/>
            </w:pPr>
            <w:r>
              <w:rPr>
                <w:rFonts w:hint="eastAsia" w:ascii="微软雅黑" w:hAnsi="微软雅黑" w:eastAsia="微软雅黑" w:cs="微软雅黑"/>
                <w:caps w:val="0"/>
                <w:spacing w:val="0"/>
                <w:sz w:val="21"/>
                <w:szCs w:val="21"/>
                <w:shd w:val="clear" w:fill="FFFFFF"/>
              </w:rPr>
              <w:t>2、开盘情况回顾：</w:t>
            </w:r>
          </w:p>
          <w:p>
            <w:pPr>
              <w:keepNext w:val="0"/>
              <w:keepLines w:val="0"/>
              <w:widowControl/>
              <w:suppressLineNumbers w:val="0"/>
              <w:spacing w:before="0" w:beforeAutospacing="1" w:after="0" w:afterAutospacing="1" w:line="216" w:lineRule="atLeast"/>
              <w:ind w:left="420" w:right="0" w:hanging="420"/>
              <w:jc w:val="left"/>
            </w:pPr>
            <w:r>
              <w:rPr>
                <w:rFonts w:hint="default" w:ascii="Wingdings" w:hAnsi="Wingdings" w:eastAsia="宋体" w:cs="Wingdings"/>
                <w:caps w:val="0"/>
                <w:spacing w:val="0"/>
                <w:kern w:val="0"/>
                <w:sz w:val="21"/>
                <w:szCs w:val="21"/>
                <w:shd w:val="clear" w:fill="FFFFFF"/>
                <w:lang w:val="en-US" w:eastAsia="zh-CN" w:bidi="ar"/>
              </w:rPr>
              <w:t>l </w:t>
            </w:r>
            <w:r>
              <w:rPr>
                <w:rFonts w:hint="eastAsia" w:ascii="微软雅黑" w:hAnsi="微软雅黑" w:eastAsia="微软雅黑" w:cs="微软雅黑"/>
                <w:caps w:val="0"/>
                <w:spacing w:val="0"/>
                <w:kern w:val="0"/>
                <w:sz w:val="21"/>
                <w:szCs w:val="21"/>
                <w:shd w:val="clear" w:fill="FFFFFF"/>
                <w:lang w:val="en-US" w:eastAsia="zh-CN" w:bidi="ar"/>
              </w:rPr>
              <w:t>首次开盘推出3#楼，18层，1个单元，两梯四户，</w:t>
            </w:r>
            <w:r>
              <w:rPr>
                <w:rFonts w:hint="eastAsia" w:ascii="微软雅黑" w:hAnsi="微软雅黑" w:eastAsia="微软雅黑" w:cs="微软雅黑"/>
                <w:b/>
                <w:caps w:val="0"/>
                <w:spacing w:val="0"/>
                <w:kern w:val="0"/>
                <w:sz w:val="21"/>
                <w:szCs w:val="21"/>
                <w:shd w:val="clear" w:fill="FFFFFF"/>
                <w:lang w:val="en-US" w:eastAsia="zh-CN" w:bidi="ar"/>
              </w:rPr>
              <w:t>实际可售房源共69套</w:t>
            </w:r>
            <w:r>
              <w:rPr>
                <w:rFonts w:hint="eastAsia" w:ascii="微软雅黑" w:hAnsi="微软雅黑" w:eastAsia="微软雅黑" w:cs="微软雅黑"/>
                <w:caps w:val="0"/>
                <w:spacing w:val="0"/>
                <w:kern w:val="0"/>
                <w:sz w:val="21"/>
                <w:szCs w:val="21"/>
                <w:shd w:val="clear" w:fill="FFFFFF"/>
                <w:lang w:val="en-US" w:eastAsia="zh-CN" w:bidi="ar"/>
              </w:rPr>
              <w:t>。一楼为裙楼底商。中套109.25㎡，边套126.95㎡，均为3室2厅2卫。</w:t>
            </w:r>
          </w:p>
          <w:p>
            <w:pPr>
              <w:pStyle w:val="3"/>
              <w:keepNext w:val="0"/>
              <w:keepLines w:val="0"/>
              <w:widowControl/>
              <w:suppressLineNumbers w:val="0"/>
              <w:shd w:val="clear" w:fill="FFFFFF"/>
              <w:spacing w:before="0" w:beforeAutospacing="1" w:after="0" w:afterAutospacing="1" w:line="24" w:lineRule="atLeast"/>
              <w:ind w:left="420" w:right="0" w:hanging="420"/>
            </w:pPr>
            <w:r>
              <w:rPr>
                <w:rFonts w:hint="default" w:ascii="Wingdings" w:hAnsi="Wingdings" w:eastAsia="宋体" w:cs="Wingdings"/>
                <w:caps w:val="0"/>
                <w:spacing w:val="0"/>
                <w:sz w:val="21"/>
                <w:szCs w:val="21"/>
                <w:shd w:val="clear" w:fill="FFFFFF"/>
              </w:rPr>
              <w:t>l </w:t>
            </w:r>
            <w:r>
              <w:rPr>
                <w:rFonts w:hint="eastAsia" w:ascii="微软雅黑" w:hAnsi="微软雅黑" w:eastAsia="微软雅黑" w:cs="微软雅黑"/>
                <w:caps w:val="0"/>
                <w:spacing w:val="0"/>
                <w:sz w:val="21"/>
                <w:szCs w:val="21"/>
                <w:shd w:val="clear" w:fill="FFFFFF"/>
              </w:rPr>
              <w:t> 10月1日营销中心开放，10月13日办理VIP，11月25日正式启动认筹，认筹约60组，采取手机明源APP选房，11点系统开启选房通道，11点半左右选房结束，</w:t>
            </w:r>
            <w:r>
              <w:rPr>
                <w:rFonts w:hint="eastAsia" w:ascii="微软雅黑" w:hAnsi="微软雅黑" w:eastAsia="微软雅黑" w:cs="微软雅黑"/>
                <w:b/>
                <w:caps w:val="0"/>
                <w:spacing w:val="0"/>
                <w:sz w:val="21"/>
                <w:szCs w:val="21"/>
                <w:shd w:val="clear" w:fill="FFFFFF"/>
              </w:rPr>
              <w:t>当天认购约35套，去化率50%。</w:t>
            </w:r>
          </w:p>
          <w:p>
            <w:pPr>
              <w:pStyle w:val="3"/>
              <w:keepNext w:val="0"/>
              <w:keepLines w:val="0"/>
              <w:widowControl/>
              <w:suppressLineNumbers w:val="0"/>
              <w:shd w:val="clear" w:fill="FFFFFF"/>
              <w:spacing w:before="0" w:beforeAutospacing="1" w:after="0" w:afterAutospacing="1" w:line="24" w:lineRule="atLeast"/>
              <w:ind w:left="0" w:right="0"/>
            </w:pPr>
            <w:r>
              <w:rPr>
                <w:rFonts w:hint="eastAsia" w:ascii="宋体" w:hAnsi="宋体" w:eastAsia="宋体" w:cs="宋体"/>
                <w:caps w:val="0"/>
                <w:spacing w:val="0"/>
                <w:sz w:val="24"/>
                <w:szCs w:val="24"/>
                <w:shd w:val="clear" w:fill="FFFFFF"/>
              </w:rPr>
              <w:t>          </w:t>
            </w:r>
            <w:r>
              <w:rPr>
                <w:rFonts w:hint="eastAsia" w:ascii="宋体" w:hAnsi="宋体" w:eastAsia="宋体" w:cs="宋体"/>
                <w:caps w:val="0"/>
                <w:spacing w:val="0"/>
                <w:sz w:val="24"/>
                <w:szCs w:val="24"/>
                <w:shd w:val="clear" w:fill="FFFFFF"/>
              </w:rPr>
              <w:drawing>
                <wp:inline distT="0" distB="0" distL="114300" distR="114300">
                  <wp:extent cx="5295900" cy="2676525"/>
                  <wp:effectExtent l="0" t="0" r="7620" b="571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8"/>
                          <a:stretch>
                            <a:fillRect/>
                          </a:stretch>
                        </pic:blipFill>
                        <pic:spPr>
                          <a:xfrm>
                            <a:off x="0" y="0"/>
                            <a:ext cx="5295900" cy="2676525"/>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1" w:after="0" w:afterAutospacing="1" w:line="24" w:lineRule="atLeast"/>
              <w:ind w:left="420" w:right="0" w:hanging="420"/>
            </w:pPr>
            <w:r>
              <w:rPr>
                <w:rFonts w:hint="default" w:ascii="Wingdings" w:hAnsi="Wingdings" w:eastAsia="宋体" w:cs="Wingdings"/>
                <w:b/>
                <w:caps w:val="0"/>
                <w:spacing w:val="0"/>
                <w:sz w:val="21"/>
                <w:szCs w:val="21"/>
                <w:shd w:val="clear" w:fill="FFFFFF"/>
              </w:rPr>
              <w:t>l </w:t>
            </w:r>
            <w:r>
              <w:rPr>
                <w:rFonts w:hint="eastAsia" w:ascii="微软雅黑" w:hAnsi="微软雅黑" w:eastAsia="微软雅黑" w:cs="微软雅黑"/>
                <w:b/>
                <w:caps w:val="0"/>
                <w:spacing w:val="0"/>
                <w:sz w:val="21"/>
                <w:szCs w:val="21"/>
                <w:shd w:val="clear" w:fill="FFFFFF"/>
              </w:rPr>
              <w:t>整体均价7000元/㎡</w:t>
            </w:r>
            <w:r>
              <w:rPr>
                <w:rFonts w:hint="eastAsia" w:ascii="微软雅黑" w:hAnsi="微软雅黑" w:eastAsia="微软雅黑" w:cs="微软雅黑"/>
                <w:caps w:val="0"/>
                <w:spacing w:val="0"/>
                <w:sz w:val="21"/>
                <w:szCs w:val="21"/>
                <w:shd w:val="clear" w:fill="FFFFFF"/>
              </w:rPr>
              <w:t>，层差为边套＞中套，140-150元/㎡。</w:t>
            </w:r>
            <w:r>
              <w:rPr>
                <w:rFonts w:hint="eastAsia" w:ascii="微软雅黑" w:hAnsi="微软雅黑" w:eastAsia="微软雅黑" w:cs="微软雅黑"/>
                <w:b/>
                <w:caps w:val="0"/>
                <w:spacing w:val="0"/>
                <w:sz w:val="21"/>
                <w:szCs w:val="21"/>
                <w:shd w:val="clear" w:fill="FFFFFF"/>
              </w:rPr>
              <w:t>此次开盘无其他优惠。</w:t>
            </w:r>
            <w:r>
              <w:rPr>
                <w:rFonts w:hint="eastAsia" w:ascii="微软雅黑" w:hAnsi="微软雅黑" w:eastAsia="微软雅黑" w:cs="微软雅黑"/>
                <w:caps w:val="0"/>
                <w:spacing w:val="0"/>
                <w:sz w:val="21"/>
                <w:szCs w:val="21"/>
                <w:shd w:val="clear" w:fill="FFFFFF"/>
              </w:rPr>
              <w:t>毛坯房定价远高于万科。相比之下无价格优势。项目周边无生活配套设施。</w:t>
            </w:r>
          </w:p>
          <w:p>
            <w:pPr>
              <w:pStyle w:val="3"/>
              <w:keepNext w:val="0"/>
              <w:keepLines w:val="0"/>
              <w:widowControl/>
              <w:suppressLineNumbers w:val="0"/>
              <w:shd w:val="clear" w:fill="FFFFFF"/>
              <w:spacing w:before="0" w:beforeAutospacing="1" w:after="0" w:afterAutospacing="1" w:line="24" w:lineRule="atLeast"/>
              <w:ind w:left="420" w:right="0" w:hanging="420"/>
            </w:pPr>
            <w:r>
              <w:rPr>
                <w:rFonts w:hint="default" w:ascii="Wingdings" w:hAnsi="Wingdings" w:eastAsia="宋体" w:cs="Wingdings"/>
                <w:caps w:val="0"/>
                <w:spacing w:val="0"/>
                <w:sz w:val="21"/>
                <w:szCs w:val="21"/>
                <w:shd w:val="clear" w:fill="FFFFFF"/>
              </w:rPr>
              <w:t>l </w:t>
            </w:r>
            <w:r>
              <w:rPr>
                <w:rFonts w:hint="eastAsia" w:ascii="微软雅黑" w:hAnsi="微软雅黑" w:eastAsia="微软雅黑" w:cs="微软雅黑"/>
                <w:caps w:val="0"/>
                <w:spacing w:val="0"/>
                <w:sz w:val="21"/>
                <w:szCs w:val="21"/>
                <w:shd w:val="clear" w:fill="FFFFFF"/>
              </w:rPr>
              <w:t>保利作为国企开发商，前期保利时代、保利林语溪口碑都还不错，有一定的品牌号召力及客户信誉度。</w:t>
            </w:r>
          </w:p>
          <w:p>
            <w:pPr>
              <w:pStyle w:val="3"/>
              <w:keepNext w:val="0"/>
              <w:keepLines w:val="0"/>
              <w:widowControl/>
              <w:suppressLineNumbers w:val="0"/>
              <w:shd w:val="clear" w:fill="FFFFFF"/>
              <w:spacing w:before="0" w:beforeAutospacing="1" w:after="0" w:afterAutospacing="1" w:line="24" w:lineRule="atLeast"/>
              <w:ind w:left="0" w:right="0"/>
            </w:pPr>
            <w:r>
              <w:rPr>
                <w:rFonts w:hint="eastAsia" w:ascii="宋体" w:hAnsi="宋体" w:eastAsia="宋体" w:cs="宋体"/>
                <w:caps w:val="0"/>
                <w:spacing w:val="0"/>
                <w:sz w:val="24"/>
                <w:szCs w:val="24"/>
                <w:shd w:val="clear" w:fill="FFFFFF"/>
              </w:rPr>
              <w:t>  </w:t>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微软雅黑" w:hAnsi="微软雅黑" w:eastAsia="微软雅黑" w:cs="微软雅黑"/>
                <w:b/>
                <w:caps w:val="0"/>
                <w:spacing w:val="0"/>
                <w:kern w:val="0"/>
                <w:sz w:val="32"/>
                <w:szCs w:val="32"/>
                <w:lang w:val="en-US" w:eastAsia="zh-CN" w:bidi="ar"/>
              </w:rPr>
              <w:t>第五部分   媒体监测</w:t>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一、搜房网</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本月在搜房网投放广告的主要有银河·东湖雅居、保利·罗兰香谷、天玺、联投·银河公园、</w:t>
            </w:r>
            <w:r>
              <w:rPr>
                <w:rFonts w:hint="eastAsia" w:ascii="微软雅黑" w:hAnsi="微软雅黑" w:eastAsia="微软雅黑" w:cs="微软雅黑"/>
                <w:i w:val="0"/>
                <w:caps w:val="0"/>
                <w:color w:val="000000"/>
                <w:spacing w:val="0"/>
                <w:kern w:val="0"/>
                <w:sz w:val="18"/>
                <w:szCs w:val="18"/>
                <w:lang w:val="en-US" w:eastAsia="zh-CN" w:bidi="ar"/>
              </w:rPr>
              <w:t>梧桐邑·九棠府、宏信·依山郡和巴黎香颂</w:t>
            </w:r>
            <w:r>
              <w:rPr>
                <w:rFonts w:hint="eastAsia" w:ascii="微软雅黑" w:hAnsi="微软雅黑" w:eastAsia="微软雅黑" w:cs="微软雅黑"/>
                <w:caps w:val="0"/>
                <w:spacing w:val="0"/>
                <w:kern w:val="0"/>
                <w:sz w:val="21"/>
                <w:szCs w:val="21"/>
                <w:shd w:val="clear" w:fill="FFFFFF"/>
                <w:lang w:val="en-US" w:eastAsia="zh-CN" w:bidi="ar"/>
              </w:rPr>
              <w:t>。</w:t>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9050000" cy="4400550"/>
                  <wp:effectExtent l="0" t="0" r="0" b="38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19050000" cy="44005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9059525" cy="4429125"/>
                  <wp:effectExtent l="0" t="0" r="5715" b="571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0"/>
                          <a:stretch>
                            <a:fillRect/>
                          </a:stretch>
                        </pic:blipFill>
                        <pic:spPr>
                          <a:xfrm>
                            <a:off x="0" y="0"/>
                            <a:ext cx="19059525" cy="442912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9050000" cy="4419600"/>
                  <wp:effectExtent l="0" t="0" r="0" b="0"/>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11"/>
                          <a:stretch>
                            <a:fillRect/>
                          </a:stretch>
                        </pic:blipFill>
                        <pic:spPr>
                          <a:xfrm>
                            <a:off x="0" y="0"/>
                            <a:ext cx="19050000" cy="44196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30000" cy="533400"/>
                  <wp:effectExtent l="0" t="0" r="0"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11430000" cy="5334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67450" cy="1343025"/>
                  <wp:effectExtent l="0" t="0" r="11430" b="13335"/>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3"/>
                          <a:stretch>
                            <a:fillRect/>
                          </a:stretch>
                        </pic:blipFill>
                        <pic:spPr>
                          <a:xfrm>
                            <a:off x="0" y="0"/>
                            <a:ext cx="6267450" cy="134302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6257925" cy="1333500"/>
                  <wp:effectExtent l="0" t="0" r="5715" b="762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4"/>
                          <a:stretch>
                            <a:fillRect/>
                          </a:stretch>
                        </pic:blipFill>
                        <pic:spPr>
                          <a:xfrm>
                            <a:off x="0" y="0"/>
                            <a:ext cx="6257925" cy="13335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30000" cy="523875"/>
                  <wp:effectExtent l="0" t="0" r="0" b="9525"/>
                  <wp:docPr id="2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67"/>
                          <pic:cNvPicPr>
                            <a:picLocks noChangeAspect="1"/>
                          </pic:cNvPicPr>
                        </pic:nvPicPr>
                        <pic:blipFill>
                          <a:blip r:embed="rId15"/>
                          <a:stretch>
                            <a:fillRect/>
                          </a:stretch>
                        </pic:blipFill>
                        <pic:spPr>
                          <a:xfrm>
                            <a:off x="0" y="0"/>
                            <a:ext cx="11430000" cy="5238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20475" cy="523875"/>
                  <wp:effectExtent l="0" t="0" r="9525" b="9525"/>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11420475" cy="5238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二、合家网</w:t>
            </w:r>
          </w:p>
          <w:p>
            <w:pPr>
              <w:keepNext w:val="0"/>
              <w:keepLines w:val="0"/>
              <w:widowControl/>
              <w:suppressLineNumbers w:val="0"/>
              <w:spacing w:before="0" w:beforeAutospacing="1" w:after="0" w:afterAutospacing="1" w:line="216" w:lineRule="atLeast"/>
              <w:ind w:left="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本月在合家网投放广告的有弘洋·拉菲小镇、山水华庭、东都国际、保利·罗兰香谷、万豪中心、东馨府、公园里3期。</w:t>
            </w:r>
          </w:p>
          <w:p>
            <w:pPr>
              <w:keepNext w:val="0"/>
              <w:keepLines w:val="0"/>
              <w:widowControl/>
              <w:suppressLineNumbers w:val="0"/>
              <w:spacing w:before="0" w:beforeAutospacing="1" w:after="0" w:afterAutospacing="1" w:line="24" w:lineRule="atLeast"/>
              <w:ind w:left="-360" w:right="0"/>
              <w:jc w:val="left"/>
            </w:pPr>
            <w:r>
              <w:rPr>
                <w:rFonts w:hint="eastAsia" w:ascii="微软雅黑" w:hAnsi="微软雅黑" w:eastAsia="微软雅黑" w:cs="微软雅黑"/>
                <w:caps w:val="0"/>
                <w:color w:val="333333"/>
                <w:spacing w:val="0"/>
                <w:kern w:val="0"/>
                <w:sz w:val="18"/>
                <w:szCs w:val="18"/>
                <w:lang w:val="en-US" w:eastAsia="zh-CN" w:bidi="ar"/>
              </w:rPr>
              <w:t>              </w:t>
            </w:r>
            <w:r>
              <w:rPr>
                <w:rFonts w:hint="eastAsia" w:ascii="微软雅黑" w:hAnsi="微软雅黑" w:eastAsia="微软雅黑" w:cs="微软雅黑"/>
                <w:caps w:val="0"/>
                <w:color w:val="333333"/>
                <w:spacing w:val="0"/>
                <w:kern w:val="0"/>
                <w:sz w:val="18"/>
                <w:szCs w:val="18"/>
                <w:lang w:val="en-US" w:eastAsia="zh-CN" w:bidi="ar"/>
              </w:rPr>
              <w:drawing>
                <wp:inline distT="0" distB="0" distL="114300" distR="114300">
                  <wp:extent cx="11811000" cy="1362075"/>
                  <wp:effectExtent l="0" t="0" r="0" b="9525"/>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7"/>
                          <a:stretch>
                            <a:fillRect/>
                          </a:stretch>
                        </pic:blipFill>
                        <pic:spPr>
                          <a:xfrm>
                            <a:off x="0" y="0"/>
                            <a:ext cx="11811000" cy="13620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4" w:lineRule="atLeast"/>
              <w:ind w:left="-360" w:right="0"/>
              <w:jc w:val="left"/>
            </w:pPr>
            <w:r>
              <w:rPr>
                <w:rFonts w:hint="eastAsia" w:ascii="微软雅黑" w:hAnsi="微软雅黑" w:eastAsia="微软雅黑" w:cs="微软雅黑"/>
                <w:caps w:val="0"/>
                <w:color w:val="333333"/>
                <w:spacing w:val="0"/>
                <w:kern w:val="0"/>
                <w:sz w:val="18"/>
                <w:szCs w:val="18"/>
                <w:lang w:val="en-US" w:eastAsia="zh-CN" w:bidi="ar"/>
              </w:rPr>
              <w:t>     </w:t>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20475" cy="523875"/>
                  <wp:effectExtent l="0" t="0" r="9525"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8"/>
                          <a:stretch>
                            <a:fillRect/>
                          </a:stretch>
                        </pic:blipFill>
                        <pic:spPr>
                          <a:xfrm>
                            <a:off x="0" y="0"/>
                            <a:ext cx="11420475" cy="5238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30000" cy="523875"/>
                  <wp:effectExtent l="0" t="0" r="0" b="9525"/>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12"/>
                          <a:stretch>
                            <a:fillRect/>
                          </a:stretch>
                        </pic:blipFill>
                        <pic:spPr>
                          <a:xfrm>
                            <a:off x="0" y="0"/>
                            <a:ext cx="11430000" cy="5238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10950" cy="1047750"/>
                  <wp:effectExtent l="0" t="0" r="3810" b="3810"/>
                  <wp:docPr id="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72"/>
                          <pic:cNvPicPr>
                            <a:picLocks noChangeAspect="1"/>
                          </pic:cNvPicPr>
                        </pic:nvPicPr>
                        <pic:blipFill>
                          <a:blip r:embed="rId19"/>
                          <a:stretch>
                            <a:fillRect/>
                          </a:stretch>
                        </pic:blipFill>
                        <pic:spPr>
                          <a:xfrm>
                            <a:off x="0" y="0"/>
                            <a:ext cx="11410950" cy="10477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1439525" cy="533400"/>
                  <wp:effectExtent l="0" t="0" r="5715" b="0"/>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20"/>
                          <a:stretch>
                            <a:fillRect/>
                          </a:stretch>
                        </pic:blipFill>
                        <pic:spPr>
                          <a:xfrm>
                            <a:off x="0" y="0"/>
                            <a:ext cx="11439525" cy="5334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809875" cy="2162175"/>
                  <wp:effectExtent l="0" t="0" r="9525" b="1905"/>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21"/>
                          <a:stretch>
                            <a:fillRect/>
                          </a:stretch>
                        </pic:blipFill>
                        <pic:spPr>
                          <a:xfrm>
                            <a:off x="0" y="0"/>
                            <a:ext cx="2809875" cy="21621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微软雅黑" w:hAnsi="微软雅黑" w:eastAsia="微软雅黑" w:cs="微软雅黑"/>
                <w:b/>
                <w:caps w:val="0"/>
                <w:spacing w:val="0"/>
                <w:kern w:val="0"/>
                <w:sz w:val="24"/>
                <w:szCs w:val="24"/>
                <w:shd w:val="clear" w:fill="FFFFFF"/>
                <w:lang w:val="en-US" w:eastAsia="zh-CN" w:bidi="ar"/>
              </w:rPr>
              <w:t>三、大楚网</w:t>
            </w:r>
          </w:p>
          <w:p>
            <w:pPr>
              <w:keepNext w:val="0"/>
              <w:keepLines w:val="0"/>
              <w:widowControl/>
              <w:suppressLineNumbers w:val="0"/>
              <w:spacing w:before="0" w:beforeAutospacing="1" w:after="0" w:afterAutospacing="1" w:line="216" w:lineRule="atLeast"/>
              <w:ind w:left="420" w:right="0"/>
              <w:jc w:val="left"/>
            </w:pPr>
            <w:r>
              <w:rPr>
                <w:rFonts w:hint="eastAsia" w:ascii="微软雅黑" w:hAnsi="微软雅黑" w:eastAsia="微软雅黑" w:cs="微软雅黑"/>
                <w:caps w:val="0"/>
                <w:spacing w:val="0"/>
                <w:kern w:val="0"/>
                <w:sz w:val="21"/>
                <w:szCs w:val="21"/>
                <w:shd w:val="clear" w:fill="FFFFFF"/>
                <w:lang w:val="en-US" w:eastAsia="zh-CN" w:bidi="ar"/>
              </w:rPr>
              <w:t>本月在大楚网投放广告的有弘洋·凡尔赛花园、壹号院和天玺。</w:t>
            </w:r>
          </w:p>
          <w:p>
            <w:pPr>
              <w:keepNext w:val="0"/>
              <w:keepLines w:val="0"/>
              <w:widowControl/>
              <w:suppressLineNumbers w:val="0"/>
              <w:spacing w:before="0" w:beforeAutospacing="1" w:after="0" w:afterAutospacing="1" w:line="216" w:lineRule="atLeast"/>
              <w:ind w:left="420" w:right="0"/>
              <w:jc w:val="left"/>
            </w:pPr>
            <w:r>
              <w:rPr>
                <w:rFonts w:hint="eastAsia" w:ascii="微软雅黑" w:hAnsi="微软雅黑" w:eastAsia="微软雅黑" w:cs="微软雅黑"/>
                <w:caps w:val="0"/>
                <w:spacing w:val="0"/>
                <w:kern w:val="0"/>
                <w:sz w:val="21"/>
                <w:szCs w:val="21"/>
                <w:shd w:val="clear" w:fill="FFFFFF"/>
                <w:lang w:val="en-US" w:eastAsia="zh-CN" w:bidi="ar"/>
              </w:rPr>
              <w:drawing>
                <wp:inline distT="0" distB="0" distL="114300" distR="114300">
                  <wp:extent cx="9505950" cy="552450"/>
                  <wp:effectExtent l="0" t="0" r="3810" b="11430"/>
                  <wp:docPr id="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IMG_275"/>
                          <pic:cNvPicPr>
                            <a:picLocks noChangeAspect="1"/>
                          </pic:cNvPicPr>
                        </pic:nvPicPr>
                        <pic:blipFill>
                          <a:blip r:embed="rId22"/>
                          <a:stretch>
                            <a:fillRect/>
                          </a:stretch>
                        </pic:blipFill>
                        <pic:spPr>
                          <a:xfrm>
                            <a:off x="0" y="0"/>
                            <a:ext cx="9505950" cy="5524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default" w:ascii="Calibri" w:hAnsi="Calibri" w:eastAsia="宋体" w:cs="Calibri"/>
                <w:caps w:val="0"/>
                <w:spacing w:val="0"/>
                <w:kern w:val="0"/>
                <w:sz w:val="21"/>
                <w:szCs w:val="21"/>
                <w:lang w:val="en-US" w:eastAsia="zh-CN" w:bidi="ar"/>
              </w:rPr>
              <w:t>         </w:t>
            </w:r>
            <w:r>
              <w:rPr>
                <w:rFonts w:hint="default" w:ascii="Calibri" w:hAnsi="Calibri" w:eastAsia="宋体" w:cs="Calibri"/>
                <w:caps w:val="0"/>
                <w:spacing w:val="0"/>
                <w:kern w:val="0"/>
                <w:sz w:val="21"/>
                <w:szCs w:val="21"/>
                <w:lang w:val="en-US" w:eastAsia="zh-CN" w:bidi="ar"/>
              </w:rPr>
              <w:drawing>
                <wp:inline distT="0" distB="0" distL="114300" distR="114300">
                  <wp:extent cx="9505950" cy="542925"/>
                  <wp:effectExtent l="0" t="0" r="3810" b="5715"/>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3"/>
                          <a:stretch>
                            <a:fillRect/>
                          </a:stretch>
                        </pic:blipFill>
                        <pic:spPr>
                          <a:xfrm>
                            <a:off x="0" y="0"/>
                            <a:ext cx="9505950" cy="54292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default" w:ascii="Calibri" w:hAnsi="Calibri" w:eastAsia="宋体" w:cs="Calibri"/>
                <w:caps w:val="0"/>
                <w:spacing w:val="0"/>
                <w:kern w:val="0"/>
                <w:sz w:val="21"/>
                <w:szCs w:val="21"/>
                <w:lang w:val="en-US" w:eastAsia="zh-CN" w:bidi="ar"/>
              </w:rPr>
              <w:t>         </w:t>
            </w:r>
            <w:r>
              <w:rPr>
                <w:rFonts w:hint="default" w:ascii="Calibri" w:hAnsi="Calibri" w:eastAsia="宋体" w:cs="Calibri"/>
                <w:caps w:val="0"/>
                <w:spacing w:val="0"/>
                <w:kern w:val="0"/>
                <w:sz w:val="21"/>
                <w:szCs w:val="21"/>
                <w:lang w:val="en-US" w:eastAsia="zh-CN" w:bidi="ar"/>
              </w:rPr>
              <w:drawing>
                <wp:inline distT="0" distB="0" distL="114300" distR="114300">
                  <wp:extent cx="9448800" cy="1628775"/>
                  <wp:effectExtent l="0" t="0" r="0" b="1905"/>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24"/>
                          <a:stretch>
                            <a:fillRect/>
                          </a:stretch>
                        </pic:blipFill>
                        <pic:spPr>
                          <a:xfrm>
                            <a:off x="0" y="0"/>
                            <a:ext cx="9448800" cy="162877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420" w:right="0" w:firstLine="420"/>
              <w:jc w:val="left"/>
            </w:pPr>
            <w:r>
              <w:rPr>
                <w:rFonts w:hint="eastAsia" w:ascii="微软雅黑" w:hAnsi="微软雅黑" w:eastAsia="微软雅黑" w:cs="微软雅黑"/>
                <w:caps w:val="0"/>
                <w:spacing w:val="0"/>
                <w:kern w:val="0"/>
                <w:sz w:val="21"/>
                <w:szCs w:val="21"/>
                <w:shd w:val="clear" w:fill="FFFFFF"/>
                <w:lang w:val="en-US" w:eastAsia="zh-CN" w:bidi="ar"/>
              </w:rPr>
              <w:t>临近年底，多个项目即将开盘，也将加大力度进行宣传推广，在开盘前集中造势。因此广告投放量也随之增加。</w:t>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before="0" w:beforeAutospacing="1" w:after="0" w:afterAutospacing="1" w:line="216" w:lineRule="atLeast"/>
              <w:ind w:left="0" w:right="0" w:firstLine="2161"/>
              <w:jc w:val="right"/>
            </w:pPr>
            <w:r>
              <w:rPr>
                <w:rFonts w:hint="eastAsia" w:ascii="微软雅黑" w:hAnsi="微软雅黑" w:eastAsia="微软雅黑" w:cs="微软雅黑"/>
                <w:b/>
                <w:caps w:val="0"/>
                <w:spacing w:val="0"/>
                <w:kern w:val="0"/>
                <w:sz w:val="24"/>
                <w:szCs w:val="24"/>
                <w:shd w:val="clear" w:fill="FFFFFF"/>
                <w:lang w:val="en-US" w:eastAsia="zh-CN" w:bidi="ar"/>
              </w:rPr>
              <w:t>武汉正邦兴业地产顾问有限公司</w:t>
            </w:r>
          </w:p>
          <w:p>
            <w:pPr>
              <w:keepNext w:val="0"/>
              <w:keepLines w:val="0"/>
              <w:widowControl/>
              <w:suppressLineNumbers w:val="0"/>
              <w:spacing w:before="0" w:beforeAutospacing="1" w:after="0" w:afterAutospacing="1" w:line="216" w:lineRule="atLeast"/>
              <w:ind w:left="420" w:right="0" w:firstLine="480"/>
              <w:jc w:val="right"/>
            </w:pPr>
            <w:r>
              <w:rPr>
                <w:rFonts w:hint="eastAsia" w:ascii="微软雅黑" w:hAnsi="微软雅黑" w:eastAsia="微软雅黑" w:cs="微软雅黑"/>
                <w:b/>
                <w:caps w:val="0"/>
                <w:spacing w:val="0"/>
                <w:kern w:val="0"/>
                <w:sz w:val="24"/>
                <w:szCs w:val="24"/>
                <w:shd w:val="clear" w:fill="FFFFFF"/>
                <w:lang w:val="en-US" w:eastAsia="zh-CN" w:bidi="ar"/>
              </w:rPr>
              <w:t>2018年12月4日</w:t>
            </w:r>
          </w:p>
        </w:tc>
      </w:tr>
    </w:tbl>
    <w:p>
      <w:pPr>
        <w:keepNext w:val="0"/>
        <w:keepLines w:val="0"/>
        <w:widowControl/>
        <w:suppressLineNumbers w:val="0"/>
        <w:jc w:val="left"/>
      </w:pPr>
    </w:p>
    <w:p/>
    <w:p>
      <w:pPr>
        <w:keepNext w:val="0"/>
        <w:keepLines w:val="0"/>
        <w:widowControl/>
        <w:suppressLineNumbers w:val="0"/>
        <w:jc w:val="left"/>
      </w:pPr>
      <w:bookmarkStart w:id="0" w:name="_GoBack"/>
      <w:bookmarkEnd w:id="0"/>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B12481"/>
    <w:rsid w:val="7BE01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2019-10-24T09:11:00Z</dcterms:created>
  <dc:creator>HP</dc:creator>
  <cp:lastModifiedBy>joke</cp:lastModifiedBy>
  <dcterms:modified xsi:type="dcterms:W3CDTF">2019-10-24T09:13:15Z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