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8306" w:type="dxa"/>
        <w:jc w:val="center"/>
        <w:tblCellSpacing w:w="0" w:type="dxa"/>
        <w:shd w:val="clear" w:color="auto" w:fill="FFFFFF"/>
        <w:tblLayout w:type="fixed"/>
        <w:tblCellMar>
          <w:top w:w="0" w:type="dxa"/>
          <w:left w:w="0" w:type="dxa"/>
          <w:bottom w:w="0" w:type="dxa"/>
          <w:right w:w="0" w:type="dxa"/>
        </w:tblCellMar>
      </w:tblPr>
      <w:tblGrid>
        <w:gridCol w:w="8306"/>
      </w:tblGrid>
      <w:tr>
        <w:tblPrEx>
          <w:shd w:val="clear" w:color="auto" w:fill="FFFFFF"/>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keepNext w:val="0"/>
              <w:keepLines w:val="0"/>
              <w:widowControl/>
              <w:suppressLineNumbers w:val="0"/>
              <w:spacing w:before="0" w:beforeAutospacing="1" w:after="0" w:afterAutospacing="1" w:line="216" w:lineRule="atLeast"/>
              <w:ind w:left="0" w:right="0"/>
              <w:jc w:val="left"/>
            </w:pPr>
            <w:r>
              <w:rPr>
                <w:rFonts w:ascii="微软雅黑" w:hAnsi="微软雅黑" w:eastAsia="微软雅黑" w:cs="微软雅黑"/>
                <w:caps w:val="0"/>
                <w:spacing w:val="0"/>
                <w:kern w:val="0"/>
                <w:sz w:val="32"/>
                <w:szCs w:val="32"/>
                <w:lang w:val="en-US" w:eastAsia="zh-CN" w:bidi="ar"/>
              </w:rPr>
              <w:t>特别提醒</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数据采集时间说明</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本文内宏观政策、城市规划以及市场观点信息采集日期为2018年12月1日-31日；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本文内市场供应数据采集日期为2018年12月1日-31日；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本文内市场销售数据采集日期为2018年12月1日-31日；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本文内土地市场新增数据采集日期为2018年12月全月数据；</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本文内土地市场成交数据采集日期为2018年12月1日-31日；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本文内媒体登录数据采集日期为2018年12月1日-31日。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版权说明</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本文内包含的资料属于武汉正邦兴业地产顾问有限公司的商业机密, 一旦泄漏，可能被商业竞争者利用，因此本文档内容仅限于武汉正邦兴业地产顾问有限公司内部及相关合作伙伴参考之用，除此之外，不得私自发布、使用和复制文档的任何内容。</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如果武汉正邦兴业地产顾问有限公司相关合作方或第三方决定采用本文或本文内数据，对本文档中数据的发布、使用和复制的必须通告武汉正邦兴业地产顾问有限公司并且在引用文本中进行明确说明。</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本限制条款不适用于从其它合法渠道得到对文中包含数据的使用授权的情况。</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版权由武汉正邦兴业地产顾问有限公司所有。</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本报告数据说明：</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1、本报告中所涉及的批准预售、新开盘及加推、成交数据未特别注明的，均为建筑面积。</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2、本报告中所涉及的新开盘及加推、成交价格未特别注明的，均为建筑面积价格。</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3、本报告中批准预售、成交数据均来自宜昌房地产交易网站；土地数据来自宜昌市国土资源局网站。</w:t>
            </w:r>
          </w:p>
          <w:p>
            <w:pPr>
              <w:keepNext w:val="0"/>
              <w:keepLines w:val="0"/>
              <w:widowControl/>
              <w:suppressLineNumbers w:val="0"/>
              <w:spacing w:before="0" w:beforeAutospacing="1" w:after="0" w:afterAutospacing="1" w:line="24" w:lineRule="atLeast"/>
              <w:ind w:left="0" w:right="0"/>
              <w:jc w:val="left"/>
            </w:pPr>
            <w:r>
              <w:rPr>
                <w:rFonts w:hint="eastAsia" w:ascii="宋体" w:hAnsi="宋体" w:eastAsia="宋体" w:cs="宋体"/>
                <w:caps w:val="0"/>
                <w:spacing w:val="0"/>
                <w:kern w:val="0"/>
                <w:sz w:val="21"/>
                <w:szCs w:val="21"/>
                <w:lang w:val="en-US" w:eastAsia="zh-CN" w:bidi="ar"/>
              </w:rPr>
              <w:t> </w:t>
            </w:r>
          </w:p>
          <w:p>
            <w:pPr>
              <w:keepNext w:val="0"/>
              <w:keepLines w:val="0"/>
              <w:widowControl/>
              <w:suppressLineNumbers w:val="0"/>
              <w:spacing w:before="0" w:beforeAutospacing="1" w:after="0" w:afterAutospacing="1" w:line="24" w:lineRule="atLeast"/>
              <w:ind w:left="0" w:right="0"/>
              <w:jc w:val="left"/>
            </w:pPr>
            <w:r>
              <w:rPr>
                <w:rFonts w:hint="eastAsia" w:ascii="宋体" w:hAnsi="宋体" w:eastAsia="宋体" w:cs="宋体"/>
                <w:caps w:val="0"/>
                <w:spacing w:val="0"/>
                <w:kern w:val="0"/>
                <w:sz w:val="21"/>
                <w:szCs w:val="21"/>
                <w:lang w:val="en-US" w:eastAsia="zh-CN" w:bidi="ar"/>
              </w:rPr>
              <w:t> </w:t>
            </w:r>
          </w:p>
          <w:p>
            <w:pPr>
              <w:keepNext w:val="0"/>
              <w:keepLines w:val="0"/>
              <w:widowControl/>
              <w:suppressLineNumbers w:val="0"/>
              <w:spacing w:before="0" w:beforeAutospacing="1" w:after="0" w:afterAutospacing="1" w:line="24" w:lineRule="atLeast"/>
              <w:ind w:left="0" w:right="0"/>
              <w:jc w:val="left"/>
            </w:pPr>
            <w:r>
              <w:rPr>
                <w:rFonts w:hint="eastAsia" w:ascii="宋体" w:hAnsi="宋体" w:eastAsia="宋体" w:cs="宋体"/>
                <w:caps w:val="0"/>
                <w:spacing w:val="0"/>
                <w:kern w:val="0"/>
                <w:sz w:val="21"/>
                <w:szCs w:val="21"/>
                <w:lang w:val="en-US" w:eastAsia="zh-CN" w:bidi="ar"/>
              </w:rPr>
              <w:t> </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第一部分   楼市政策分析</w:t>
            </w:r>
          </w:p>
          <w:p>
            <w:pPr>
              <w:keepNext w:val="0"/>
              <w:keepLines w:val="0"/>
              <w:widowControl/>
              <w:suppressLineNumbers w:val="0"/>
              <w:spacing w:before="0" w:beforeAutospacing="1" w:after="0" w:afterAutospacing="1" w:line="216" w:lineRule="atLeast"/>
              <w:ind w:left="0" w:right="0" w:firstLine="480"/>
              <w:jc w:val="left"/>
            </w:pPr>
            <w:r>
              <w:rPr>
                <w:rFonts w:hint="eastAsia" w:ascii="微软雅黑" w:hAnsi="微软雅黑" w:eastAsia="微软雅黑" w:cs="微软雅黑"/>
                <w:b/>
                <w:caps w:val="0"/>
                <w:spacing w:val="0"/>
                <w:kern w:val="0"/>
                <w:sz w:val="24"/>
                <w:szCs w:val="24"/>
                <w:lang w:val="en-US" w:eastAsia="zh-CN" w:bidi="ar"/>
              </w:rPr>
              <w:t>1、12月7日 市委召开双月座谈会 持续推进农村住房“消危减土”</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lang w:val="en-US" w:eastAsia="zh-CN" w:bidi="ar"/>
              </w:rPr>
              <w:t>12月6日，市委召开双月座谈会，向各民主党派、工商联负责人和无党派人士通报全市农村住房“消危减土”工作情况。市委常委、统战部部长王均成主持会议。市领导孔福生、王应华、刘洪福、黄惠宁、望蓉、陈和春等出席会议。副市长刘洪福作情况通报。他说，近一年来，宜昌市扎实推进农村住房“消危减土”工作，截至10月底，全市“消危减土”共开工58761户，竣工55778户。</w:t>
            </w:r>
          </w:p>
          <w:p>
            <w:pPr>
              <w:keepNext w:val="0"/>
              <w:keepLines w:val="0"/>
              <w:widowControl/>
              <w:suppressLineNumbers w:val="0"/>
              <w:spacing w:before="0" w:beforeAutospacing="1" w:after="0" w:afterAutospacing="1" w:line="216" w:lineRule="atLeast"/>
              <w:ind w:left="0" w:right="0" w:firstLine="480"/>
              <w:jc w:val="left"/>
            </w:pPr>
            <w:r>
              <w:rPr>
                <w:rFonts w:hint="eastAsia" w:ascii="微软雅黑" w:hAnsi="微软雅黑" w:eastAsia="微软雅黑" w:cs="微软雅黑"/>
                <w:b/>
                <w:caps w:val="0"/>
                <w:spacing w:val="0"/>
                <w:kern w:val="0"/>
                <w:sz w:val="24"/>
                <w:szCs w:val="24"/>
                <w:lang w:val="en-US" w:eastAsia="zh-CN" w:bidi="ar"/>
              </w:rPr>
              <w:t>2、12月11日  宜昌非物质文化遗产保护将有法可依</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lang w:val="en-US" w:eastAsia="zh-CN" w:bidi="ar"/>
              </w:rPr>
              <w:t>12月10日，市六届人大常委会第十四次会议表决通过了《宜昌市非物质文化遗产保护条例》，非物质文化遗产保护将有法可依。宜昌非物质文化遗产资源丰富，现有人类非物质文化遗产代表作名录项目1项（全省有4项）、国家级19项、省级50项、市级109项、县市区级359项，国家级项目数量位列全省第一；非物质文化遗产项目代表性传承人国家级17人、省级103人、市级493人、县市区级1760人；非物质文化遗产传承示范基地省级2个、市级28个</w:t>
            </w:r>
          </w:p>
          <w:p>
            <w:pPr>
              <w:keepNext w:val="0"/>
              <w:keepLines w:val="0"/>
              <w:widowControl/>
              <w:suppressLineNumbers w:val="0"/>
              <w:spacing w:before="0" w:beforeAutospacing="1" w:after="0" w:afterAutospacing="1" w:line="216" w:lineRule="atLeast"/>
              <w:ind w:left="0" w:right="0" w:firstLine="480"/>
              <w:jc w:val="left"/>
            </w:pPr>
            <w:r>
              <w:rPr>
                <w:rFonts w:hint="eastAsia" w:ascii="微软雅黑" w:hAnsi="微软雅黑" w:eastAsia="微软雅黑" w:cs="微软雅黑"/>
                <w:b/>
                <w:caps w:val="0"/>
                <w:spacing w:val="0"/>
                <w:kern w:val="0"/>
                <w:sz w:val="24"/>
                <w:szCs w:val="24"/>
                <w:lang w:val="en-US" w:eastAsia="zh-CN" w:bidi="ar"/>
              </w:rPr>
              <w:t>3、12月25日宜昌建筑行业亮出诚信“红黑榜” 严重失信企业将被清出建筑市场</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lang w:val="en-US" w:eastAsia="zh-CN" w:bidi="ar"/>
              </w:rPr>
              <w:t>12月24日，记者获悉，《市住建委关于修改宜昌市建筑市场各方主体优良行为、不良行为记分标准的通知》（简称《修改通知》）已经市政府法制办公室审查备案并由市住建委印发，将于2019年3月1日起实施。建筑企业一旦拖欠农民工工资，或者使用不合格建筑材料等行为，将被纳入诚信体系。</w:t>
            </w:r>
          </w:p>
          <w:p>
            <w:pPr>
              <w:keepNext w:val="0"/>
              <w:keepLines w:val="0"/>
              <w:widowControl/>
              <w:suppressLineNumbers w:val="0"/>
              <w:spacing w:before="0" w:beforeAutospacing="1" w:after="0" w:afterAutospacing="1" w:line="216" w:lineRule="atLeast"/>
              <w:ind w:left="0" w:right="0" w:firstLine="480"/>
              <w:jc w:val="left"/>
            </w:pPr>
            <w:r>
              <w:rPr>
                <w:rFonts w:hint="eastAsia" w:ascii="微软雅黑" w:hAnsi="微软雅黑" w:eastAsia="微软雅黑" w:cs="微软雅黑"/>
                <w:b/>
                <w:caps w:val="0"/>
                <w:spacing w:val="0"/>
                <w:kern w:val="0"/>
                <w:sz w:val="24"/>
                <w:szCs w:val="24"/>
                <w:lang w:val="en-US" w:eastAsia="zh-CN" w:bidi="ar"/>
              </w:rPr>
              <w:t>4、12月27日  住建委｜宜昌存量房经纪服务合同示范文本出台</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lang w:val="en-US" w:eastAsia="zh-CN" w:bidi="ar"/>
              </w:rPr>
              <w:t>近日，宜昌市住建委、宜昌市工商局联合发布了《宜昌市存量房出售经纪服务合同》《宜昌市存量房购买经纪服务合同》《宜昌市存量房买卖居间服务合同》《宜昌市存量房交易代办服务合同》等四个示范文本，自2019年1月1日起，全市各房地产经纪机构在开展存量房交易业务时应当提供本示范文本，供当事人阅读使用。</w:t>
            </w:r>
          </w:p>
          <w:p>
            <w:pPr>
              <w:keepNext w:val="0"/>
              <w:keepLines w:val="0"/>
              <w:widowControl/>
              <w:suppressLineNumbers w:val="0"/>
              <w:spacing w:before="0" w:beforeAutospacing="1" w:after="0" w:afterAutospacing="1" w:line="216" w:lineRule="atLeast"/>
              <w:ind w:left="0" w:right="0" w:firstLine="480"/>
              <w:jc w:val="left"/>
            </w:pPr>
            <w:r>
              <w:rPr>
                <w:rFonts w:hint="eastAsia" w:ascii="微软雅黑" w:hAnsi="微软雅黑" w:eastAsia="微软雅黑" w:cs="微软雅黑"/>
                <w:b/>
                <w:caps w:val="0"/>
                <w:spacing w:val="0"/>
                <w:kern w:val="0"/>
                <w:sz w:val="24"/>
                <w:szCs w:val="24"/>
                <w:lang w:val="en-US" w:eastAsia="zh-CN" w:bidi="ar"/>
              </w:rPr>
              <w:t>5、12月18日  山东菏泽取消限购</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lang w:val="en-US" w:eastAsia="zh-CN" w:bidi="ar"/>
              </w:rPr>
              <w:t>12月18日晚间，山东省菏泽市住房和城乡建设局发布《关于推进全市棚户区改造和促进房地产市场平稳健康发展的通知》（菏建〔2018〕7号），通知第六条明确规定：取消新购住房限制转让措施。取消了一年之前出台的“对主城区和住房成交量高、房价稳控压力大的县区实行新购住房限制转让措施，即所购买的新建商品住房和二手住房取得产权证书至少满2年后方可上市交易，非本地居民购房限制转让时间不少于3年”的规定。其背后是，调控收紧下，房子难卖，三四线城市再次面临去库存压力。</w:t>
            </w:r>
          </w:p>
          <w:p>
            <w:pPr>
              <w:keepNext w:val="0"/>
              <w:keepLines w:val="0"/>
              <w:widowControl/>
              <w:suppressLineNumbers w:val="0"/>
              <w:spacing w:before="0" w:beforeAutospacing="1" w:after="0" w:afterAutospacing="1" w:line="216" w:lineRule="atLeast"/>
              <w:ind w:left="0" w:right="0" w:firstLine="480"/>
              <w:jc w:val="left"/>
            </w:pPr>
            <w:r>
              <w:rPr>
                <w:rFonts w:hint="eastAsia" w:ascii="微软雅黑" w:hAnsi="微软雅黑" w:eastAsia="微软雅黑" w:cs="微软雅黑"/>
                <w:b/>
                <w:caps w:val="0"/>
                <w:spacing w:val="0"/>
                <w:kern w:val="0"/>
                <w:sz w:val="24"/>
                <w:szCs w:val="24"/>
                <w:lang w:val="en-US" w:eastAsia="zh-CN" w:bidi="ar"/>
              </w:rPr>
              <w:t>6、12月19日中央经济工作会议提出，要构建房地产市场健康发展长效机制。</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lang w:val="en-US" w:eastAsia="zh-CN" w:bidi="ar"/>
              </w:rPr>
              <w:t>2月19日中央经济工作会议提出，要哦坚持房子是用来住的、不是用来炒的定位，因城施策、分类指导，夯实城市政府主体责任，完善住房市场体系和住房保障体系。</w:t>
            </w:r>
          </w:p>
          <w:p>
            <w:pPr>
              <w:keepNext w:val="0"/>
              <w:keepLines w:val="0"/>
              <w:widowControl/>
              <w:suppressLineNumbers w:val="0"/>
              <w:spacing w:before="0" w:beforeAutospacing="1" w:after="0" w:afterAutospacing="1" w:line="216" w:lineRule="atLeast"/>
              <w:ind w:left="0" w:right="0"/>
              <w:jc w:val="both"/>
            </w:pPr>
            <w:r>
              <w:rPr>
                <w:rFonts w:hint="eastAsia" w:ascii="宋体" w:hAnsi="宋体" w:eastAsia="宋体" w:cs="宋体"/>
                <w:b/>
                <w:caps w:val="0"/>
                <w:color w:val="333333"/>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caps w:val="0"/>
                <w:color w:val="333333"/>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第二部分   土地市场分析</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一、12月土地市场情况</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12月宜昌共出让土地</w:t>
            </w:r>
            <w:r>
              <w:rPr>
                <w:rFonts w:hint="eastAsia" w:ascii="微软雅黑" w:hAnsi="微软雅黑" w:eastAsia="微软雅黑" w:cs="微软雅黑"/>
                <w:b/>
                <w:caps w:val="0"/>
                <w:spacing w:val="0"/>
                <w:kern w:val="0"/>
                <w:sz w:val="21"/>
                <w:szCs w:val="21"/>
                <w:shd w:val="clear" w:fill="FFFFFF"/>
                <w:lang w:val="en-US" w:eastAsia="zh-CN" w:bidi="ar"/>
              </w:rPr>
              <w:t>17幅</w:t>
            </w:r>
            <w:r>
              <w:rPr>
                <w:rFonts w:hint="eastAsia" w:ascii="微软雅黑" w:hAnsi="微软雅黑" w:eastAsia="微软雅黑" w:cs="微软雅黑"/>
                <w:caps w:val="0"/>
                <w:spacing w:val="0"/>
                <w:kern w:val="0"/>
                <w:sz w:val="21"/>
                <w:szCs w:val="21"/>
                <w:shd w:val="clear" w:fill="FFFFFF"/>
                <w:lang w:val="en-US" w:eastAsia="zh-CN" w:bidi="ar"/>
              </w:rPr>
              <w:t>，总出让面积</w:t>
            </w:r>
            <w:r>
              <w:rPr>
                <w:rFonts w:hint="eastAsia" w:ascii="微软雅黑" w:hAnsi="微软雅黑" w:eastAsia="微软雅黑" w:cs="微软雅黑"/>
                <w:b/>
                <w:caps w:val="0"/>
                <w:spacing w:val="0"/>
                <w:kern w:val="0"/>
                <w:sz w:val="21"/>
                <w:szCs w:val="21"/>
                <w:shd w:val="clear" w:fill="FFFFFF"/>
                <w:lang w:val="en-US" w:eastAsia="zh-CN" w:bidi="ar"/>
              </w:rPr>
              <w:t>539518.799㎡</w:t>
            </w:r>
            <w:r>
              <w:rPr>
                <w:rFonts w:hint="eastAsia" w:ascii="微软雅黑" w:hAnsi="微软雅黑" w:eastAsia="微软雅黑" w:cs="微软雅黑"/>
                <w:caps w:val="0"/>
                <w:spacing w:val="0"/>
                <w:kern w:val="0"/>
                <w:sz w:val="21"/>
                <w:szCs w:val="21"/>
                <w:shd w:val="clear" w:fill="FFFFFF"/>
                <w:lang w:val="en-US" w:eastAsia="zh-CN" w:bidi="ar"/>
              </w:rPr>
              <w:t>，17幅地块中，14幅地块为挂牌出让、3幅地块为拍卖出让，出让起拍</w:t>
            </w:r>
            <w:r>
              <w:rPr>
                <w:rFonts w:hint="eastAsia" w:ascii="微软雅黑" w:hAnsi="微软雅黑" w:eastAsia="微软雅黑" w:cs="微软雅黑"/>
                <w:b/>
                <w:caps w:val="0"/>
                <w:spacing w:val="0"/>
                <w:kern w:val="0"/>
                <w:sz w:val="21"/>
                <w:szCs w:val="21"/>
                <w:shd w:val="clear" w:fill="FFFFFF"/>
                <w:lang w:val="en-US" w:eastAsia="zh-CN" w:bidi="ar"/>
              </w:rPr>
              <w:t>总金额约86092万元</w:t>
            </w:r>
            <w:r>
              <w:rPr>
                <w:rFonts w:hint="eastAsia" w:ascii="微软雅黑" w:hAnsi="微软雅黑" w:eastAsia="微软雅黑" w:cs="微软雅黑"/>
                <w:caps w:val="0"/>
                <w:spacing w:val="0"/>
                <w:kern w:val="0"/>
                <w:sz w:val="21"/>
                <w:szCs w:val="21"/>
                <w:shd w:val="clear" w:fill="FFFFFF"/>
                <w:lang w:val="en-US" w:eastAsia="zh-CN" w:bidi="ar"/>
              </w:rPr>
              <w:t>。在11月供地大幅增加的基础上，再次出现大幅增长。</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drawing>
                <wp:inline distT="0" distB="0" distL="114300" distR="114300">
                  <wp:extent cx="5829300" cy="3267075"/>
                  <wp:effectExtent l="0" t="0" r="762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829300" cy="32670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firstLine="420"/>
              <w:jc w:val="left"/>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 二、12月土地供应情况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150" w:firstLine="420"/>
              <w:jc w:val="left"/>
            </w:pPr>
            <w:r>
              <w:rPr>
                <w:rFonts w:hint="eastAsia" w:ascii="微软雅黑" w:hAnsi="微软雅黑" w:eastAsia="微软雅黑" w:cs="微软雅黑"/>
                <w:b/>
                <w:caps w:val="0"/>
                <w:spacing w:val="0"/>
                <w:sz w:val="21"/>
                <w:szCs w:val="21"/>
                <w:shd w:val="clear" w:fill="FFFFFF"/>
              </w:rPr>
              <w:t>从供应区域来看，</w:t>
            </w:r>
            <w:r>
              <w:rPr>
                <w:rFonts w:hint="eastAsia" w:ascii="微软雅黑" w:hAnsi="微软雅黑" w:eastAsia="微软雅黑" w:cs="微软雅黑"/>
                <w:caps w:val="0"/>
                <w:spacing w:val="0"/>
                <w:sz w:val="21"/>
                <w:szCs w:val="21"/>
                <w:shd w:val="clear" w:fill="FFFFFF"/>
              </w:rPr>
              <w:t>12月供地区域主要分布在夷陵区、点军区、猇亭区和高新区，其中：夷陵区7幅；点军区3幅；猇亭区3幅；高新区4幅（含点军区电子信息产业园2幅，伍家生物产业园2幅）；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150" w:firstLine="420"/>
              <w:jc w:val="left"/>
            </w:pPr>
            <w:r>
              <w:rPr>
                <w:rFonts w:hint="eastAsia" w:ascii="微软雅黑" w:hAnsi="微软雅黑" w:eastAsia="微软雅黑" w:cs="微软雅黑"/>
                <w:b/>
                <w:caps w:val="0"/>
                <w:spacing w:val="0"/>
                <w:sz w:val="21"/>
                <w:szCs w:val="21"/>
                <w:shd w:val="clear" w:fill="FFFFFF"/>
              </w:rPr>
              <w:t>从土地用途来看</w:t>
            </w:r>
            <w:r>
              <w:rPr>
                <w:rFonts w:hint="eastAsia" w:ascii="微软雅黑" w:hAnsi="微软雅黑" w:eastAsia="微软雅黑" w:cs="微软雅黑"/>
                <w:caps w:val="0"/>
                <w:spacing w:val="0"/>
                <w:sz w:val="21"/>
                <w:szCs w:val="21"/>
                <w:shd w:val="clear" w:fill="FFFFFF"/>
              </w:rPr>
              <w:t>，12月供地中，7幅为工业用地，3幅商务金融用地，2幅为商住用地，2幅物流仓储用地，1幅旅馆用地，1幅住宿餐饮用地，1幅商业用地。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150" w:firstLine="420"/>
              <w:jc w:val="left"/>
            </w:pPr>
            <w:r>
              <w:rPr>
                <w:rFonts w:hint="eastAsia" w:ascii="微软雅黑" w:hAnsi="微软雅黑" w:eastAsia="微软雅黑" w:cs="微软雅黑"/>
                <w:caps w:val="0"/>
                <w:spacing w:val="0"/>
                <w:sz w:val="21"/>
                <w:szCs w:val="21"/>
                <w:shd w:val="clear" w:fill="FFFFFF"/>
              </w:rPr>
              <w:t>无论从楼面价还是从竞价幅度来看，点军区五龙三路东侧的2幅地块（宜土网挂(2018)43号、44号地块）均为12月供地的最大看点。</w:t>
            </w:r>
          </w:p>
          <w:tbl>
            <w:tblPr>
              <w:tblStyle w:val="3"/>
              <w:tblW w:w="11355" w:type="dxa"/>
              <w:jc w:val="center"/>
              <w:shd w:val="clear" w:color="auto" w:fill="auto"/>
              <w:tblLayout w:type="fixed"/>
              <w:tblCellMar>
                <w:top w:w="15" w:type="dxa"/>
                <w:left w:w="15" w:type="dxa"/>
                <w:bottom w:w="15" w:type="dxa"/>
                <w:right w:w="15" w:type="dxa"/>
              </w:tblCellMar>
            </w:tblPr>
            <w:tblGrid>
              <w:gridCol w:w="479"/>
              <w:gridCol w:w="1950"/>
              <w:gridCol w:w="2490"/>
              <w:gridCol w:w="1366"/>
              <w:gridCol w:w="1335"/>
              <w:gridCol w:w="780"/>
              <w:gridCol w:w="930"/>
              <w:gridCol w:w="915"/>
              <w:gridCol w:w="1110"/>
            </w:tblGrid>
            <w:tr>
              <w:tblPrEx>
                <w:shd w:val="clear" w:color="auto" w:fill="auto"/>
                <w:tblCellMar>
                  <w:top w:w="15" w:type="dxa"/>
                  <w:left w:w="15" w:type="dxa"/>
                  <w:bottom w:w="15" w:type="dxa"/>
                  <w:right w:w="15" w:type="dxa"/>
                </w:tblCellMar>
              </w:tblPrEx>
              <w:trPr>
                <w:trHeight w:val="286" w:hRule="atLeast"/>
                <w:jc w:val="center"/>
              </w:trPr>
              <w:tc>
                <w:tcPr>
                  <w:tcW w:w="11355" w:type="dxa"/>
                  <w:gridSpan w:val="9"/>
                  <w:tcBorders>
                    <w:top w:val="single" w:color="000000" w:sz="8" w:space="0"/>
                    <w:left w:val="single" w:color="000000" w:sz="8" w:space="0"/>
                    <w:bottom w:val="single" w:color="000000" w:sz="8" w:space="0"/>
                    <w:right w:val="single" w:color="000000" w:sz="8" w:space="0"/>
                  </w:tcBorders>
                  <w:shd w:val="clear" w:color="auto" w:fill="5B9BD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2018年12月宜昌城区土地供应明细</w:t>
                  </w:r>
                </w:p>
              </w:tc>
            </w:tr>
            <w:tr>
              <w:tblPrEx>
                <w:tblCellMar>
                  <w:top w:w="15" w:type="dxa"/>
                  <w:left w:w="15" w:type="dxa"/>
                  <w:bottom w:w="15" w:type="dxa"/>
                  <w:right w:w="15" w:type="dxa"/>
                </w:tblCellMar>
              </w:tblPrEx>
              <w:trPr>
                <w:trHeight w:val="285" w:hRule="atLeast"/>
                <w:jc w:val="center"/>
              </w:trPr>
              <w:tc>
                <w:tcPr>
                  <w:tcW w:w="479" w:type="dxa"/>
                  <w:vMerge w:val="restart"/>
                  <w:tcBorders>
                    <w:top w:val="nil"/>
                    <w:left w:val="single" w:color="000000" w:sz="8" w:space="0"/>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序号</w:t>
                  </w:r>
                </w:p>
              </w:tc>
              <w:tc>
                <w:tcPr>
                  <w:tcW w:w="1950"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宗地编号</w:t>
                  </w:r>
                </w:p>
              </w:tc>
              <w:tc>
                <w:tcPr>
                  <w:tcW w:w="2490"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地块地址</w:t>
                  </w:r>
                </w:p>
              </w:tc>
              <w:tc>
                <w:tcPr>
                  <w:tcW w:w="1366"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土地面积</w:t>
                  </w:r>
                  <w:r>
                    <w:rPr>
                      <w:rFonts w:hint="eastAsia" w:ascii="微软雅黑" w:hAnsi="微软雅黑" w:eastAsia="微软雅黑" w:cs="微软雅黑"/>
                      <w:b/>
                      <w:i w:val="0"/>
                      <w:color w:val="000000"/>
                      <w:kern w:val="0"/>
                      <w:sz w:val="18"/>
                      <w:szCs w:val="18"/>
                      <w:lang w:val="en-US" w:eastAsia="zh-CN" w:bidi="ar"/>
                    </w:rPr>
                    <w:br w:type="textWrapping"/>
                  </w:r>
                  <w:r>
                    <w:rPr>
                      <w:rFonts w:hint="eastAsia" w:ascii="微软雅黑" w:hAnsi="微软雅黑" w:eastAsia="微软雅黑" w:cs="微软雅黑"/>
                      <w:b/>
                      <w:i w:val="0"/>
                      <w:color w:val="000000"/>
                      <w:kern w:val="0"/>
                      <w:sz w:val="18"/>
                      <w:szCs w:val="18"/>
                      <w:lang w:val="en-US" w:eastAsia="zh-CN" w:bidi="ar"/>
                    </w:rPr>
                    <w:t>（㎡）</w:t>
                  </w:r>
                </w:p>
              </w:tc>
              <w:tc>
                <w:tcPr>
                  <w:tcW w:w="1335" w:type="dxa"/>
                  <w:vMerge w:val="restart"/>
                  <w:tcBorders>
                    <w:top w:val="single" w:color="000000" w:sz="8" w:space="0"/>
                    <w:left w:val="nil"/>
                    <w:bottom w:val="single" w:color="000000" w:sz="8" w:space="0"/>
                    <w:right w:val="nil"/>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土地用途</w:t>
                  </w:r>
                </w:p>
              </w:tc>
              <w:tc>
                <w:tcPr>
                  <w:tcW w:w="780" w:type="dxa"/>
                  <w:vMerge w:val="restart"/>
                  <w:tcBorders>
                    <w:top w:val="single" w:color="000000" w:sz="8" w:space="0"/>
                    <w:left w:val="single" w:color="000000" w:sz="8" w:space="0"/>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容积率</w:t>
                  </w:r>
                </w:p>
              </w:tc>
              <w:tc>
                <w:tcPr>
                  <w:tcW w:w="930"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出让</w:t>
                  </w:r>
                  <w:r>
                    <w:rPr>
                      <w:rFonts w:hint="eastAsia" w:ascii="微软雅黑" w:hAnsi="微软雅黑" w:eastAsia="微软雅黑" w:cs="微软雅黑"/>
                      <w:b/>
                      <w:i w:val="0"/>
                      <w:color w:val="000000"/>
                      <w:kern w:val="0"/>
                      <w:sz w:val="18"/>
                      <w:szCs w:val="18"/>
                      <w:lang w:val="en-US" w:eastAsia="zh-CN" w:bidi="ar"/>
                    </w:rPr>
                    <w:br w:type="textWrapping"/>
                  </w:r>
                  <w:r>
                    <w:rPr>
                      <w:rFonts w:hint="eastAsia" w:ascii="微软雅黑" w:hAnsi="微软雅黑" w:eastAsia="微软雅黑" w:cs="微软雅黑"/>
                      <w:b/>
                      <w:i w:val="0"/>
                      <w:color w:val="000000"/>
                      <w:kern w:val="0"/>
                      <w:sz w:val="18"/>
                      <w:szCs w:val="18"/>
                      <w:lang w:val="en-US" w:eastAsia="zh-CN" w:bidi="ar"/>
                    </w:rPr>
                    <w:t>年限</w:t>
                  </w:r>
                </w:p>
              </w:tc>
              <w:tc>
                <w:tcPr>
                  <w:tcW w:w="915"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起始价</w:t>
                  </w:r>
                  <w:r>
                    <w:rPr>
                      <w:rFonts w:hint="eastAsia" w:ascii="微软雅黑" w:hAnsi="微软雅黑" w:eastAsia="微软雅黑" w:cs="微软雅黑"/>
                      <w:b/>
                      <w:i w:val="0"/>
                      <w:color w:val="000000"/>
                      <w:kern w:val="0"/>
                      <w:sz w:val="18"/>
                      <w:szCs w:val="18"/>
                      <w:lang w:val="en-US" w:eastAsia="zh-CN" w:bidi="ar"/>
                    </w:rPr>
                    <w:br w:type="textWrapping"/>
                  </w:r>
                  <w:r>
                    <w:rPr>
                      <w:rFonts w:hint="eastAsia" w:ascii="微软雅黑" w:hAnsi="微软雅黑" w:eastAsia="微软雅黑" w:cs="微软雅黑"/>
                      <w:b/>
                      <w:i w:val="0"/>
                      <w:color w:val="000000"/>
                      <w:kern w:val="0"/>
                      <w:sz w:val="18"/>
                      <w:szCs w:val="18"/>
                      <w:lang w:val="en-US" w:eastAsia="zh-CN" w:bidi="ar"/>
                    </w:rPr>
                    <w:t>（万元）</w:t>
                  </w:r>
                </w:p>
              </w:tc>
              <w:tc>
                <w:tcPr>
                  <w:tcW w:w="1110"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起始楼面价</w:t>
                  </w:r>
                  <w:r>
                    <w:rPr>
                      <w:rFonts w:hint="eastAsia" w:ascii="微软雅黑" w:hAnsi="微软雅黑" w:eastAsia="微软雅黑" w:cs="微软雅黑"/>
                      <w:b/>
                      <w:i w:val="0"/>
                      <w:color w:val="000000"/>
                      <w:kern w:val="0"/>
                      <w:sz w:val="18"/>
                      <w:szCs w:val="18"/>
                      <w:lang w:val="en-US" w:eastAsia="zh-CN" w:bidi="ar"/>
                    </w:rPr>
                    <w:br w:type="textWrapping"/>
                  </w:r>
                  <w:r>
                    <w:rPr>
                      <w:rFonts w:hint="eastAsia" w:ascii="微软雅黑" w:hAnsi="微软雅黑" w:eastAsia="微软雅黑" w:cs="微软雅黑"/>
                      <w:b/>
                      <w:i w:val="0"/>
                      <w:color w:val="000000"/>
                      <w:kern w:val="0"/>
                      <w:sz w:val="18"/>
                      <w:szCs w:val="18"/>
                      <w:lang w:val="en-US" w:eastAsia="zh-CN" w:bidi="ar"/>
                    </w:rPr>
                    <w:t>（元/㎡）</w:t>
                  </w:r>
                </w:p>
              </w:tc>
            </w:tr>
            <w:tr>
              <w:tblPrEx>
                <w:tblCellMar>
                  <w:top w:w="15" w:type="dxa"/>
                  <w:left w:w="15" w:type="dxa"/>
                  <w:bottom w:w="15" w:type="dxa"/>
                  <w:right w:w="15" w:type="dxa"/>
                </w:tblCellMar>
              </w:tblPrEx>
              <w:trPr>
                <w:trHeight w:val="285" w:hRule="atLeast"/>
                <w:jc w:val="center"/>
              </w:trPr>
              <w:tc>
                <w:tcPr>
                  <w:tcW w:w="479" w:type="dxa"/>
                  <w:vMerge w:val="continue"/>
                  <w:tcBorders>
                    <w:top w:val="nil"/>
                    <w:left w:val="single" w:color="000000" w:sz="8" w:space="0"/>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1950"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2490"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1366"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1335" w:type="dxa"/>
                  <w:vMerge w:val="continue"/>
                  <w:tcBorders>
                    <w:top w:val="single" w:color="000000" w:sz="8" w:space="0"/>
                    <w:left w:val="nil"/>
                    <w:bottom w:val="single" w:color="000000" w:sz="8" w:space="0"/>
                    <w:right w:val="nil"/>
                  </w:tcBorders>
                  <w:shd w:val="clear" w:color="auto" w:fill="FFFF00"/>
                  <w:vAlign w:val="center"/>
                </w:tcPr>
                <w:p>
                  <w:pPr>
                    <w:rPr>
                      <w:rFonts w:hint="eastAsia" w:ascii="宋体" w:hAnsi="宋体" w:eastAsia="宋体" w:cs="宋体"/>
                      <w:sz w:val="14"/>
                      <w:szCs w:val="14"/>
                    </w:rPr>
                  </w:pPr>
                </w:p>
              </w:tc>
              <w:tc>
                <w:tcPr>
                  <w:tcW w:w="780" w:type="dxa"/>
                  <w:vMerge w:val="continue"/>
                  <w:tcBorders>
                    <w:top w:val="single" w:color="000000" w:sz="8" w:space="0"/>
                    <w:left w:val="single" w:color="000000" w:sz="8" w:space="0"/>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930"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915"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1110"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夷G[2018]33号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夷陵区龙泉镇柏家坪村</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67485.25</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旅馆用地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0.9</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3040</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501</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夷G[2018]34号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夷陵区太平溪镇黄家冲村</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1068.62</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夷G[2018]35号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夷陵区太平溪镇龙潭坪村</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2443.98</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21</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72</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夷G[2018]36号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夷陵区东城试验区姜家湾村</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5652.86</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221</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326</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夷G[2018]37号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夷陵区东城试验区梅子垭村</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11335.33</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商务金融用地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2900</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1599</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夷G[2018]38号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夷陵区东城试验区梅子垭村</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16669.08</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商务金融用地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4270</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1601</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宜土网挂(2018)41号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夷陵区小溪塔街办龙泉山村</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3342.699</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住宿餐饮</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295</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宜土网挂(2018)42号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点军区五龙大道</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6488.18</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商务金融用地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2.7</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2580</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1473</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宜土网挂(2018)43号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点军区五龙三路东侧</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39947.17</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住宅及商服</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1.8</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70/40</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21580</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3001</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宜土网挂(2018)44号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点军区五龙三路东侧</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45866.67</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住宅及商服</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1.8</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70/40</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24780</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3001</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宜土网挂(2018)45号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猇亭区先锋路</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26648.71</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770</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144</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宜土网挂(2018)46号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电子信息产业园</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466.91</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150</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13</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宜土网挂(2018)47号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电子信息产业园</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549.4</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146</w:t>
                  </w:r>
                </w:p>
              </w:tc>
            </w:tr>
            <w:tr>
              <w:tblPrEx>
                <w:tblCellMar>
                  <w:top w:w="15" w:type="dxa"/>
                  <w:left w:w="15" w:type="dxa"/>
                  <w:bottom w:w="15" w:type="dxa"/>
                  <w:right w:w="15" w:type="dxa"/>
                </w:tblCellMar>
              </w:tblPrEx>
              <w:trPr>
                <w:trHeight w:val="780"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宜土网挂(2018)48号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生物产业园百灵路与生物产业园二路交汇处</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11464.68</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工业用地</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331</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144</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P（2018）14号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猇亭区机场路延伸段</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140045.35</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物流仓储</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10955</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782</w:t>
                  </w:r>
                </w:p>
              </w:tc>
            </w:tr>
            <w:tr>
              <w:tblPrEx>
                <w:tblCellMar>
                  <w:top w:w="15" w:type="dxa"/>
                  <w:left w:w="15" w:type="dxa"/>
                  <w:bottom w:w="15" w:type="dxa"/>
                  <w:right w:w="15" w:type="dxa"/>
                </w:tblCellMar>
              </w:tblPrEx>
              <w:trPr>
                <w:trHeight w:val="286"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P（2018）15号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猇亭区机场路延伸段</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154993.65</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物流仓储</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12100</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780</w:t>
                  </w:r>
                </w:p>
              </w:tc>
            </w:tr>
            <w:tr>
              <w:tblPrEx>
                <w:tblCellMar>
                  <w:top w:w="15" w:type="dxa"/>
                  <w:left w:w="15" w:type="dxa"/>
                  <w:bottom w:w="15" w:type="dxa"/>
                  <w:right w:w="15" w:type="dxa"/>
                </w:tblCellMar>
              </w:tblPrEx>
              <w:trPr>
                <w:trHeight w:val="825" w:hRule="atLeast"/>
                <w:jc w:val="center"/>
              </w:trPr>
              <w:tc>
                <w:tcPr>
                  <w:tcW w:w="4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17</w:t>
                  </w:r>
                </w:p>
              </w:tc>
              <w:tc>
                <w:tcPr>
                  <w:tcW w:w="19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P（2018）16号</w:t>
                  </w:r>
                </w:p>
              </w:tc>
              <w:tc>
                <w:tcPr>
                  <w:tcW w:w="2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高新区生物产业园百灵路与桔乡路交汇处</w:t>
                  </w:r>
                </w:p>
              </w:tc>
              <w:tc>
                <w:tcPr>
                  <w:tcW w:w="13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5050.26</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商业</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≤2.8</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40年</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2210</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1563</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16" w:lineRule="atLeast"/>
              <w:ind w:left="150" w:right="150" w:firstLine="480"/>
              <w:jc w:val="left"/>
            </w:pPr>
            <w:r>
              <w:rPr>
                <w:rFonts w:hint="eastAsia" w:ascii="微软雅黑" w:hAnsi="微软雅黑" w:eastAsia="微软雅黑" w:cs="微软雅黑"/>
                <w:b w:val="0"/>
                <w:i w:val="0"/>
                <w:caps w:val="0"/>
                <w:color w:val="222222"/>
                <w:spacing w:val="0"/>
                <w:sz w:val="24"/>
                <w:szCs w:val="24"/>
                <w:shd w:val="clear" w:fill="FFFFFF"/>
              </w:rPr>
              <w:t>环比2018年11月，</w:t>
            </w:r>
            <w:r>
              <w:rPr>
                <w:rFonts w:hint="eastAsia" w:ascii="微软雅黑" w:hAnsi="微软雅黑" w:eastAsia="微软雅黑" w:cs="微软雅黑"/>
                <w:b/>
                <w:i w:val="0"/>
                <w:caps w:val="0"/>
                <w:color w:val="222222"/>
                <w:spacing w:val="0"/>
                <w:sz w:val="24"/>
                <w:szCs w:val="24"/>
                <w:shd w:val="clear" w:fill="FFFFFF"/>
              </w:rPr>
              <w:t>土地供应数量、出让面积、最低起始价均大幅增加</w:t>
            </w:r>
            <w:r>
              <w:rPr>
                <w:rFonts w:hint="eastAsia" w:ascii="微软雅黑" w:hAnsi="微软雅黑" w:eastAsia="微软雅黑" w:cs="微软雅黑"/>
                <w:b w:val="0"/>
                <w:i w:val="0"/>
                <w:caps w:val="0"/>
                <w:color w:val="222222"/>
                <w:spacing w:val="0"/>
                <w:sz w:val="24"/>
                <w:szCs w:val="24"/>
                <w:shd w:val="clear" w:fill="FFFFFF"/>
              </w:rPr>
              <w:t>，环比增幅分别为70%、143.43%、41.52%。在12月供应的地块中，起始楼面价最高的地块位于点军区，2幅商住用地地块楼面价均超过3000元/㎡。其他商住类地块的露面价则在1500元/㎡左右，分别位于夷陵区、点军区、伍家区等不同位置。</w:t>
            </w:r>
          </w:p>
          <w:tbl>
            <w:tblPr>
              <w:tblStyle w:val="3"/>
              <w:tblW w:w="9750" w:type="dxa"/>
              <w:tblInd w:w="83" w:type="dxa"/>
              <w:shd w:val="clear" w:color="auto" w:fill="auto"/>
              <w:tblLayout w:type="fixed"/>
              <w:tblCellMar>
                <w:top w:w="15" w:type="dxa"/>
                <w:left w:w="15" w:type="dxa"/>
                <w:bottom w:w="15" w:type="dxa"/>
                <w:right w:w="15" w:type="dxa"/>
              </w:tblCellMar>
            </w:tblPr>
            <w:tblGrid>
              <w:gridCol w:w="2040"/>
              <w:gridCol w:w="2640"/>
              <w:gridCol w:w="2220"/>
              <w:gridCol w:w="2850"/>
            </w:tblGrid>
            <w:tr>
              <w:tblPrEx>
                <w:shd w:val="clear" w:color="auto" w:fill="auto"/>
                <w:tblCellMar>
                  <w:top w:w="15" w:type="dxa"/>
                  <w:left w:w="15" w:type="dxa"/>
                  <w:bottom w:w="15" w:type="dxa"/>
                  <w:right w:w="15" w:type="dxa"/>
                </w:tblCellMar>
              </w:tblPrEx>
              <w:trPr>
                <w:trHeight w:val="286" w:hRule="atLeast"/>
              </w:trPr>
              <w:tc>
                <w:tcPr>
                  <w:tcW w:w="9750" w:type="dxa"/>
                  <w:gridSpan w:val="4"/>
                  <w:tcBorders>
                    <w:top w:val="single" w:color="000000" w:sz="8" w:space="0"/>
                    <w:left w:val="single" w:color="000000" w:sz="8" w:space="0"/>
                    <w:bottom w:val="single" w:color="000000" w:sz="8" w:space="0"/>
                    <w:right w:val="single" w:color="000000" w:sz="8" w:space="0"/>
                  </w:tcBorders>
                  <w:shd w:val="clear" w:color="auto" w:fill="00B0F0"/>
                  <w:vAlign w:val="center"/>
                </w:tcPr>
                <w:p>
                  <w:pPr>
                    <w:keepNext w:val="0"/>
                    <w:keepLines w:val="0"/>
                    <w:widowControl/>
                    <w:suppressLineNumbers w:val="0"/>
                    <w:shd w:val="clear" w:fill="9CC2E5"/>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22"/>
                      <w:szCs w:val="22"/>
                      <w:shd w:val="clear" w:fill="9CC2E5"/>
                      <w:lang w:val="en-US" w:eastAsia="zh-CN" w:bidi="ar"/>
                    </w:rPr>
                    <w:t>2018年12月土地供应环比变化情况</w:t>
                  </w:r>
                </w:p>
              </w:tc>
            </w:tr>
            <w:tr>
              <w:tblPrEx>
                <w:tblCellMar>
                  <w:top w:w="15" w:type="dxa"/>
                  <w:left w:w="15" w:type="dxa"/>
                  <w:bottom w:w="15" w:type="dxa"/>
                  <w:right w:w="15" w:type="dxa"/>
                </w:tblCellMar>
              </w:tblPrEx>
              <w:trPr>
                <w:trHeight w:val="286" w:hRule="atLeast"/>
              </w:trPr>
              <w:tc>
                <w:tcPr>
                  <w:tcW w:w="2040" w:type="dxa"/>
                  <w:tcBorders>
                    <w:top w:val="nil"/>
                    <w:left w:val="single" w:color="000000" w:sz="8" w:space="0"/>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b/>
                      <w:i w:val="0"/>
                      <w:color w:val="000000"/>
                      <w:kern w:val="0"/>
                      <w:sz w:val="18"/>
                      <w:szCs w:val="18"/>
                      <w:lang w:val="en-US" w:eastAsia="zh-CN" w:bidi="ar"/>
                    </w:rPr>
                    <w:t> </w:t>
                  </w:r>
                </w:p>
              </w:tc>
              <w:tc>
                <w:tcPr>
                  <w:tcW w:w="2640" w:type="dxa"/>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土地供应数量（幅）</w:t>
                  </w:r>
                </w:p>
              </w:tc>
              <w:tc>
                <w:tcPr>
                  <w:tcW w:w="2220" w:type="dxa"/>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土地供应面积（㎡）</w:t>
                  </w:r>
                </w:p>
              </w:tc>
              <w:tc>
                <w:tcPr>
                  <w:tcW w:w="2850" w:type="dxa"/>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土地供应金额（万元）</w:t>
                  </w:r>
                </w:p>
              </w:tc>
            </w:tr>
            <w:tr>
              <w:tblPrEx>
                <w:tblCellMar>
                  <w:top w:w="15" w:type="dxa"/>
                  <w:left w:w="15" w:type="dxa"/>
                  <w:bottom w:w="15" w:type="dxa"/>
                  <w:right w:w="15" w:type="dxa"/>
                </w:tblCellMar>
              </w:tblPrEx>
              <w:trPr>
                <w:trHeight w:val="286" w:hRule="atLeast"/>
              </w:trPr>
              <w:tc>
                <w:tcPr>
                  <w:tcW w:w="20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2018年12月</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17</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539518.799</w:t>
                  </w:r>
                </w:p>
              </w:tc>
              <w:tc>
                <w:tcPr>
                  <w:tcW w:w="28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86092</w:t>
                  </w:r>
                </w:p>
              </w:tc>
            </w:tr>
            <w:tr>
              <w:tblPrEx>
                <w:tblCellMar>
                  <w:top w:w="15" w:type="dxa"/>
                  <w:left w:w="15" w:type="dxa"/>
                  <w:bottom w:w="15" w:type="dxa"/>
                  <w:right w:w="15" w:type="dxa"/>
                </w:tblCellMar>
              </w:tblPrEx>
              <w:trPr>
                <w:trHeight w:val="286" w:hRule="atLeast"/>
              </w:trPr>
              <w:tc>
                <w:tcPr>
                  <w:tcW w:w="20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2018年11月</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221632.47</w:t>
                  </w:r>
                </w:p>
              </w:tc>
              <w:tc>
                <w:tcPr>
                  <w:tcW w:w="28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60834</w:t>
                  </w:r>
                </w:p>
              </w:tc>
            </w:tr>
            <w:tr>
              <w:tblPrEx>
                <w:tblCellMar>
                  <w:top w:w="15" w:type="dxa"/>
                  <w:left w:w="15" w:type="dxa"/>
                  <w:bottom w:w="15" w:type="dxa"/>
                  <w:right w:w="15" w:type="dxa"/>
                </w:tblCellMar>
              </w:tblPrEx>
              <w:trPr>
                <w:trHeight w:val="286" w:hRule="atLeast"/>
              </w:trPr>
              <w:tc>
                <w:tcPr>
                  <w:tcW w:w="20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环比变化</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70.00%</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143.43%</w:t>
                  </w:r>
                </w:p>
              </w:tc>
              <w:tc>
                <w:tcPr>
                  <w:tcW w:w="28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41.52%</w:t>
                  </w:r>
                </w:p>
              </w:tc>
            </w:tr>
          </w:tbl>
          <w:p>
            <w:pPr>
              <w:keepNext w:val="0"/>
              <w:keepLines w:val="0"/>
              <w:widowControl/>
              <w:suppressLineNumbers w:val="0"/>
              <w:spacing w:before="0" w:beforeAutospacing="1" w:after="0" w:afterAutospacing="1" w:line="24" w:lineRule="atLeast"/>
              <w:ind w:left="0" w:right="0" w:firstLine="480"/>
              <w:jc w:val="center"/>
            </w:pPr>
            <w:r>
              <w:rPr>
                <w:rFonts w:hint="eastAsia" w:ascii="微软雅黑" w:hAnsi="微软雅黑" w:eastAsia="微软雅黑" w:cs="微软雅黑"/>
                <w:b w:val="0"/>
                <w:i w:val="0"/>
                <w:caps w:val="0"/>
                <w:color w:val="222222"/>
                <w:spacing w:val="0"/>
                <w:kern w:val="0"/>
                <w:sz w:val="24"/>
                <w:szCs w:val="24"/>
                <w:shd w:val="clear" w:fill="FFFFFF"/>
                <w:lang w:val="en-US" w:eastAsia="zh-CN" w:bidi="ar"/>
              </w:rPr>
              <w:t> </w:t>
            </w:r>
          </w:p>
          <w:p>
            <w:pPr>
              <w:keepNext w:val="0"/>
              <w:keepLines w:val="0"/>
              <w:widowControl/>
              <w:suppressLineNumbers w:val="0"/>
              <w:spacing w:before="0" w:beforeAutospacing="1" w:after="0" w:afterAutospacing="1" w:line="24" w:lineRule="atLeast"/>
              <w:ind w:left="0" w:right="0" w:firstLine="480"/>
              <w:jc w:val="center"/>
            </w:pPr>
            <w:r>
              <w:rPr>
                <w:rFonts w:hint="eastAsia" w:ascii="微软雅黑" w:hAnsi="微软雅黑" w:eastAsia="微软雅黑" w:cs="微软雅黑"/>
                <w:b w:val="0"/>
                <w:i w:val="0"/>
                <w:caps w:val="0"/>
                <w:color w:val="222222"/>
                <w:spacing w:val="0"/>
                <w:kern w:val="0"/>
                <w:sz w:val="24"/>
                <w:szCs w:val="24"/>
                <w:shd w:val="clear" w:fill="FFFFFF"/>
                <w:lang w:val="en-US" w:eastAsia="zh-CN" w:bidi="ar"/>
              </w:rPr>
              <w:t>同比2017年12月，土地供应数量、出让面积、最低起始价同样呈增加趋势，同比增幅分别为325.00%、847.45%、12094.33%。土地供应金额同比涨幅高达100余倍。</w:t>
            </w:r>
          </w:p>
          <w:tbl>
            <w:tblPr>
              <w:tblStyle w:val="3"/>
              <w:tblW w:w="9280" w:type="dxa"/>
              <w:jc w:val="center"/>
              <w:shd w:val="clear" w:color="auto" w:fill="auto"/>
              <w:tblLayout w:type="fixed"/>
              <w:tblCellMar>
                <w:top w:w="15" w:type="dxa"/>
                <w:left w:w="15" w:type="dxa"/>
                <w:bottom w:w="15" w:type="dxa"/>
                <w:right w:w="15" w:type="dxa"/>
              </w:tblCellMar>
            </w:tblPr>
            <w:tblGrid>
              <w:gridCol w:w="2036"/>
              <w:gridCol w:w="2634"/>
              <w:gridCol w:w="2215"/>
              <w:gridCol w:w="2395"/>
            </w:tblGrid>
            <w:tr>
              <w:tblPrEx>
                <w:shd w:val="clear" w:color="auto" w:fill="auto"/>
                <w:tblCellMar>
                  <w:top w:w="15" w:type="dxa"/>
                  <w:left w:w="15" w:type="dxa"/>
                  <w:bottom w:w="15" w:type="dxa"/>
                  <w:right w:w="15" w:type="dxa"/>
                </w:tblCellMar>
              </w:tblPrEx>
              <w:trPr>
                <w:trHeight w:val="451" w:hRule="atLeast"/>
                <w:jc w:val="center"/>
              </w:trPr>
              <w:tc>
                <w:tcPr>
                  <w:tcW w:w="9280" w:type="dxa"/>
                  <w:gridSpan w:val="4"/>
                  <w:tcBorders>
                    <w:top w:val="single" w:color="000000" w:sz="8" w:space="0"/>
                    <w:left w:val="single" w:color="000000" w:sz="8" w:space="0"/>
                    <w:bottom w:val="single" w:color="000000" w:sz="8" w:space="0"/>
                    <w:right w:val="single" w:color="000000" w:sz="8" w:space="0"/>
                  </w:tcBorders>
                  <w:shd w:val="clear" w:color="auto" w:fill="00B0F0"/>
                  <w:vAlign w:val="center"/>
                </w:tcPr>
                <w:p>
                  <w:pPr>
                    <w:keepNext w:val="0"/>
                    <w:keepLines w:val="0"/>
                    <w:widowControl/>
                    <w:suppressLineNumbers w:val="0"/>
                    <w:shd w:val="clear" w:fill="9CC2E5"/>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22"/>
                      <w:szCs w:val="22"/>
                      <w:shd w:val="clear" w:fill="9CC2E5"/>
                      <w:lang w:val="en-US" w:eastAsia="zh-CN" w:bidi="ar"/>
                    </w:rPr>
                    <w:t>2018年12月土地供应同比变化情况</w:t>
                  </w:r>
                </w:p>
              </w:tc>
            </w:tr>
            <w:tr>
              <w:tblPrEx>
                <w:tblCellMar>
                  <w:top w:w="15" w:type="dxa"/>
                  <w:left w:w="15" w:type="dxa"/>
                  <w:bottom w:w="15" w:type="dxa"/>
                  <w:right w:w="15" w:type="dxa"/>
                </w:tblCellMar>
              </w:tblPrEx>
              <w:trPr>
                <w:trHeight w:val="451" w:hRule="atLeast"/>
                <w:jc w:val="center"/>
              </w:trPr>
              <w:tc>
                <w:tcPr>
                  <w:tcW w:w="2036" w:type="dxa"/>
                  <w:tcBorders>
                    <w:top w:val="nil"/>
                    <w:left w:val="single" w:color="000000" w:sz="8" w:space="0"/>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b/>
                      <w:i w:val="0"/>
                      <w:color w:val="000000"/>
                      <w:kern w:val="0"/>
                      <w:sz w:val="18"/>
                      <w:szCs w:val="18"/>
                      <w:lang w:val="en-US" w:eastAsia="zh-CN" w:bidi="ar"/>
                    </w:rPr>
                    <w:t> </w:t>
                  </w:r>
                </w:p>
              </w:tc>
              <w:tc>
                <w:tcPr>
                  <w:tcW w:w="2634" w:type="dxa"/>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土地供应数量（幅）</w:t>
                  </w:r>
                </w:p>
              </w:tc>
              <w:tc>
                <w:tcPr>
                  <w:tcW w:w="2215" w:type="dxa"/>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土地供应面积（㎡）</w:t>
                  </w:r>
                </w:p>
              </w:tc>
              <w:tc>
                <w:tcPr>
                  <w:tcW w:w="2395" w:type="dxa"/>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土地供应金额（万元）</w:t>
                  </w:r>
                </w:p>
              </w:tc>
            </w:tr>
            <w:tr>
              <w:tblPrEx>
                <w:tblCellMar>
                  <w:top w:w="15" w:type="dxa"/>
                  <w:left w:w="15" w:type="dxa"/>
                  <w:bottom w:w="15" w:type="dxa"/>
                  <w:right w:w="15" w:type="dxa"/>
                </w:tblCellMar>
              </w:tblPrEx>
              <w:trPr>
                <w:trHeight w:val="451" w:hRule="atLeast"/>
                <w:jc w:val="center"/>
              </w:trPr>
              <w:tc>
                <w:tcPr>
                  <w:tcW w:w="20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2018年12月</w:t>
                  </w:r>
                </w:p>
              </w:tc>
              <w:tc>
                <w:tcPr>
                  <w:tcW w:w="26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17</w:t>
                  </w:r>
                </w:p>
              </w:tc>
              <w:tc>
                <w:tcPr>
                  <w:tcW w:w="22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539518.799</w:t>
                  </w:r>
                </w:p>
              </w:tc>
              <w:tc>
                <w:tcPr>
                  <w:tcW w:w="23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86092</w:t>
                  </w:r>
                </w:p>
              </w:tc>
            </w:tr>
            <w:tr>
              <w:tblPrEx>
                <w:tblCellMar>
                  <w:top w:w="15" w:type="dxa"/>
                  <w:left w:w="15" w:type="dxa"/>
                  <w:bottom w:w="15" w:type="dxa"/>
                  <w:right w:w="15" w:type="dxa"/>
                </w:tblCellMar>
              </w:tblPrEx>
              <w:trPr>
                <w:trHeight w:val="451" w:hRule="atLeast"/>
                <w:jc w:val="center"/>
              </w:trPr>
              <w:tc>
                <w:tcPr>
                  <w:tcW w:w="20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2017年12月</w:t>
                  </w:r>
                </w:p>
              </w:tc>
              <w:tc>
                <w:tcPr>
                  <w:tcW w:w="26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w:t>
                  </w:r>
                </w:p>
              </w:tc>
              <w:tc>
                <w:tcPr>
                  <w:tcW w:w="22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56944.16</w:t>
                  </w:r>
                </w:p>
              </w:tc>
              <w:tc>
                <w:tcPr>
                  <w:tcW w:w="23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706</w:t>
                  </w:r>
                </w:p>
              </w:tc>
            </w:tr>
            <w:tr>
              <w:tblPrEx>
                <w:tblCellMar>
                  <w:top w:w="15" w:type="dxa"/>
                  <w:left w:w="15" w:type="dxa"/>
                  <w:bottom w:w="15" w:type="dxa"/>
                  <w:right w:w="15" w:type="dxa"/>
                </w:tblCellMar>
              </w:tblPrEx>
              <w:trPr>
                <w:trHeight w:val="464" w:hRule="atLeast"/>
                <w:jc w:val="center"/>
              </w:trPr>
              <w:tc>
                <w:tcPr>
                  <w:tcW w:w="20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同比变化</w:t>
                  </w:r>
                </w:p>
              </w:tc>
              <w:tc>
                <w:tcPr>
                  <w:tcW w:w="26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325.00%</w:t>
                  </w:r>
                </w:p>
              </w:tc>
              <w:tc>
                <w:tcPr>
                  <w:tcW w:w="22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847.45%</w:t>
                  </w:r>
                </w:p>
              </w:tc>
              <w:tc>
                <w:tcPr>
                  <w:tcW w:w="23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12094.33%</w:t>
                  </w:r>
                </w:p>
              </w:tc>
            </w:tr>
          </w:tbl>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三、12月土地成交情况</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b/>
                <w:i w:val="0"/>
                <w:caps w:val="0"/>
                <w:color w:val="222222"/>
                <w:spacing w:val="0"/>
                <w:kern w:val="0"/>
                <w:sz w:val="21"/>
                <w:szCs w:val="21"/>
                <w:shd w:val="clear" w:fill="FFFFFF"/>
                <w:lang w:val="en-US" w:eastAsia="zh-CN" w:bidi="ar"/>
              </w:rPr>
              <w:t>12月宜昌共完成土地交易11宗，土地总成交面积501692.31㎡，土地成交金额约68311万元，环比增长幅度较大，同比成交金额下降。</w:t>
            </w:r>
            <w:r>
              <w:rPr>
                <w:rFonts w:hint="eastAsia" w:ascii="微软雅黑" w:hAnsi="微软雅黑" w:eastAsia="微软雅黑" w:cs="微软雅黑"/>
                <w:b w:val="0"/>
                <w:i w:val="0"/>
                <w:caps w:val="0"/>
                <w:color w:val="222222"/>
                <w:spacing w:val="0"/>
                <w:kern w:val="0"/>
                <w:sz w:val="21"/>
                <w:szCs w:val="21"/>
                <w:shd w:val="clear" w:fill="FFFFFF"/>
                <w:lang w:val="en-US" w:eastAsia="zh-CN" w:bidi="ar"/>
              </w:rPr>
              <w:t>此外，12月夷陵区1幅地块暂停挂牌，未完成交易。12月宜昌成交集中在猇亭区、高新区和夷陵区。其中猇亭区完成土地成交6宗，占总成交数量的一半以上。高新区完成土地交易4宗（1宗位于点军电子信息产业园，2宗位于东山园区，1宗位于生物产业园）。夷陵区完成土地交易1宗，1幅地块暂停挂牌。从土地用途来看，11宗土地交易中，分别完成工业用地交易7宗、物流仓储用地交易2宗、商住用地交易1宗和商业用地交易1宗。从数据上来看，12月整体成交的溢价率极低，几乎可忽略不计。</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b w:val="0"/>
                <w:i w:val="0"/>
                <w:caps w:val="0"/>
                <w:color w:val="222222"/>
                <w:spacing w:val="0"/>
                <w:kern w:val="0"/>
                <w:sz w:val="21"/>
                <w:szCs w:val="21"/>
                <w:shd w:val="clear" w:fill="FFFFFF"/>
                <w:lang w:val="en-US" w:eastAsia="zh-CN" w:bidi="ar"/>
              </w:rPr>
              <w:t> </w:t>
            </w:r>
          </w:p>
          <w:tbl>
            <w:tblPr>
              <w:tblStyle w:val="3"/>
              <w:tblW w:w="9720" w:type="dxa"/>
              <w:tblInd w:w="83" w:type="dxa"/>
              <w:shd w:val="clear" w:color="auto" w:fill="auto"/>
              <w:tblLayout w:type="fixed"/>
              <w:tblCellMar>
                <w:top w:w="15" w:type="dxa"/>
                <w:left w:w="15" w:type="dxa"/>
                <w:bottom w:w="15" w:type="dxa"/>
                <w:right w:w="15" w:type="dxa"/>
              </w:tblCellMar>
            </w:tblPr>
            <w:tblGrid>
              <w:gridCol w:w="612"/>
              <w:gridCol w:w="1534"/>
              <w:gridCol w:w="1928"/>
              <w:gridCol w:w="1004"/>
              <w:gridCol w:w="640"/>
              <w:gridCol w:w="2163"/>
              <w:gridCol w:w="970"/>
              <w:gridCol w:w="869"/>
            </w:tblGrid>
            <w:tr>
              <w:tblPrEx>
                <w:shd w:val="clear" w:color="auto" w:fill="auto"/>
              </w:tblPrEx>
              <w:trPr>
                <w:trHeight w:val="355" w:hRule="atLeast"/>
              </w:trPr>
              <w:tc>
                <w:tcPr>
                  <w:tcW w:w="612" w:type="dxa"/>
                  <w:vMerge w:val="restart"/>
                  <w:tcBorders>
                    <w:top w:val="single" w:color="000000" w:sz="8" w:space="0"/>
                    <w:left w:val="single" w:color="000000" w:sz="8" w:space="0"/>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6"/>
                      <w:szCs w:val="16"/>
                      <w:lang w:val="en-US" w:eastAsia="zh-CN" w:bidi="ar"/>
                    </w:rPr>
                    <w:t>序号</w:t>
                  </w:r>
                </w:p>
              </w:tc>
              <w:tc>
                <w:tcPr>
                  <w:tcW w:w="1534"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6"/>
                      <w:szCs w:val="16"/>
                      <w:lang w:val="en-US" w:eastAsia="zh-CN" w:bidi="ar"/>
                    </w:rPr>
                    <w:t>宗地编号</w:t>
                  </w:r>
                </w:p>
              </w:tc>
              <w:tc>
                <w:tcPr>
                  <w:tcW w:w="1928"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6"/>
                      <w:szCs w:val="16"/>
                      <w:lang w:val="en-US" w:eastAsia="zh-CN" w:bidi="ar"/>
                    </w:rPr>
                    <w:t>地块地址</w:t>
                  </w:r>
                </w:p>
              </w:tc>
              <w:tc>
                <w:tcPr>
                  <w:tcW w:w="1004"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6"/>
                      <w:szCs w:val="16"/>
                      <w:lang w:val="en-US" w:eastAsia="zh-CN" w:bidi="ar"/>
                    </w:rPr>
                    <w:t>地块面积</w:t>
                  </w:r>
                  <w:r>
                    <w:rPr>
                      <w:rFonts w:hint="eastAsia" w:ascii="微软雅黑" w:hAnsi="微软雅黑" w:eastAsia="微软雅黑" w:cs="微软雅黑"/>
                      <w:b/>
                      <w:i w:val="0"/>
                      <w:color w:val="000000"/>
                      <w:kern w:val="0"/>
                      <w:sz w:val="16"/>
                      <w:szCs w:val="16"/>
                      <w:lang w:val="en-US" w:eastAsia="zh-CN" w:bidi="ar"/>
                    </w:rPr>
                    <w:br w:type="textWrapping"/>
                  </w:r>
                  <w:r>
                    <w:rPr>
                      <w:rFonts w:hint="eastAsia" w:ascii="微软雅黑" w:hAnsi="微软雅黑" w:eastAsia="微软雅黑" w:cs="微软雅黑"/>
                      <w:b/>
                      <w:i w:val="0"/>
                      <w:color w:val="000000"/>
                      <w:kern w:val="0"/>
                      <w:sz w:val="16"/>
                      <w:szCs w:val="16"/>
                      <w:lang w:val="en-US" w:eastAsia="zh-CN" w:bidi="ar"/>
                    </w:rPr>
                    <w:t>（㎡）</w:t>
                  </w:r>
                </w:p>
              </w:tc>
              <w:tc>
                <w:tcPr>
                  <w:tcW w:w="640"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6"/>
                      <w:szCs w:val="16"/>
                      <w:lang w:val="en-US" w:eastAsia="zh-CN" w:bidi="ar"/>
                    </w:rPr>
                    <w:t>地块</w:t>
                  </w:r>
                  <w:r>
                    <w:rPr>
                      <w:rFonts w:hint="eastAsia" w:ascii="微软雅黑" w:hAnsi="微软雅黑" w:eastAsia="微软雅黑" w:cs="微软雅黑"/>
                      <w:b/>
                      <w:i w:val="0"/>
                      <w:color w:val="000000"/>
                      <w:kern w:val="0"/>
                      <w:sz w:val="16"/>
                      <w:szCs w:val="16"/>
                      <w:lang w:val="en-US" w:eastAsia="zh-CN" w:bidi="ar"/>
                    </w:rPr>
                    <w:br w:type="textWrapping"/>
                  </w:r>
                  <w:r>
                    <w:rPr>
                      <w:rFonts w:hint="eastAsia" w:ascii="微软雅黑" w:hAnsi="微软雅黑" w:eastAsia="微软雅黑" w:cs="微软雅黑"/>
                      <w:b/>
                      <w:i w:val="0"/>
                      <w:color w:val="000000"/>
                      <w:kern w:val="0"/>
                      <w:sz w:val="16"/>
                      <w:szCs w:val="16"/>
                      <w:lang w:val="en-US" w:eastAsia="zh-CN" w:bidi="ar"/>
                    </w:rPr>
                    <w:t>用途</w:t>
                  </w:r>
                </w:p>
              </w:tc>
              <w:tc>
                <w:tcPr>
                  <w:tcW w:w="2163"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6"/>
                      <w:szCs w:val="16"/>
                      <w:lang w:val="en-US" w:eastAsia="zh-CN" w:bidi="ar"/>
                    </w:rPr>
                    <w:t>竞得人/使用权人</w:t>
                  </w:r>
                </w:p>
              </w:tc>
              <w:tc>
                <w:tcPr>
                  <w:tcW w:w="970"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6"/>
                      <w:szCs w:val="16"/>
                      <w:lang w:val="en-US" w:eastAsia="zh-CN" w:bidi="ar"/>
                    </w:rPr>
                    <w:t>成交价格</w:t>
                  </w:r>
                  <w:r>
                    <w:rPr>
                      <w:rFonts w:hint="eastAsia" w:ascii="微软雅黑" w:hAnsi="微软雅黑" w:eastAsia="微软雅黑" w:cs="微软雅黑"/>
                      <w:b/>
                      <w:i w:val="0"/>
                      <w:color w:val="000000"/>
                      <w:kern w:val="0"/>
                      <w:sz w:val="16"/>
                      <w:szCs w:val="16"/>
                      <w:lang w:val="en-US" w:eastAsia="zh-CN" w:bidi="ar"/>
                    </w:rPr>
                    <w:br w:type="textWrapping"/>
                  </w:r>
                  <w:r>
                    <w:rPr>
                      <w:rFonts w:hint="eastAsia" w:ascii="微软雅黑" w:hAnsi="微软雅黑" w:eastAsia="微软雅黑" w:cs="微软雅黑"/>
                      <w:b/>
                      <w:i w:val="0"/>
                      <w:color w:val="000000"/>
                      <w:kern w:val="0"/>
                      <w:sz w:val="16"/>
                      <w:szCs w:val="16"/>
                      <w:lang w:val="en-US" w:eastAsia="zh-CN" w:bidi="ar"/>
                    </w:rPr>
                    <w:t>（万元）</w:t>
                  </w:r>
                </w:p>
              </w:tc>
              <w:tc>
                <w:tcPr>
                  <w:tcW w:w="869" w:type="dxa"/>
                  <w:vMerge w:val="restart"/>
                  <w:tcBorders>
                    <w:top w:val="single" w:color="000000" w:sz="8" w:space="0"/>
                    <w:left w:val="nil"/>
                    <w:bottom w:val="single" w:color="000000" w:sz="8" w:space="0"/>
                    <w:right w:val="single" w:color="000000" w:sz="8" w:space="0"/>
                  </w:tcBorders>
                  <w:shd w:val="clear" w:color="auto" w:fill="FFFF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6"/>
                      <w:szCs w:val="16"/>
                      <w:lang w:val="en-US" w:eastAsia="zh-CN" w:bidi="ar"/>
                    </w:rPr>
                    <w:t>溢价率</w:t>
                  </w:r>
                </w:p>
              </w:tc>
            </w:tr>
            <w:tr>
              <w:tblPrEx>
                <w:shd w:val="clear" w:color="auto" w:fill="auto"/>
                <w:tblCellMar>
                  <w:top w:w="15" w:type="dxa"/>
                  <w:left w:w="15" w:type="dxa"/>
                  <w:bottom w:w="15" w:type="dxa"/>
                  <w:right w:w="15" w:type="dxa"/>
                </w:tblCellMar>
              </w:tblPrEx>
              <w:trPr>
                <w:trHeight w:val="355" w:hRule="atLeast"/>
              </w:trPr>
              <w:tc>
                <w:tcPr>
                  <w:tcW w:w="612" w:type="dxa"/>
                  <w:vMerge w:val="continue"/>
                  <w:tcBorders>
                    <w:top w:val="single" w:color="000000" w:sz="8" w:space="0"/>
                    <w:left w:val="single" w:color="000000" w:sz="8" w:space="0"/>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1534"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1928"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1004"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640"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2163"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970"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c>
                <w:tcPr>
                  <w:tcW w:w="869" w:type="dxa"/>
                  <w:vMerge w:val="continue"/>
                  <w:tcBorders>
                    <w:top w:val="single" w:color="000000" w:sz="8" w:space="0"/>
                    <w:left w:val="nil"/>
                    <w:bottom w:val="single" w:color="000000" w:sz="8" w:space="0"/>
                    <w:right w:val="single" w:color="000000" w:sz="8" w:space="0"/>
                  </w:tcBorders>
                  <w:shd w:val="clear" w:color="auto" w:fill="FFFF00"/>
                  <w:vAlign w:val="center"/>
                </w:tcPr>
                <w:p>
                  <w:pPr>
                    <w:rPr>
                      <w:rFonts w:hint="eastAsia" w:ascii="宋体" w:hAnsi="宋体" w:eastAsia="宋体" w:cs="宋体"/>
                      <w:sz w:val="14"/>
                      <w:szCs w:val="14"/>
                    </w:rPr>
                  </w:pPr>
                </w:p>
              </w:tc>
            </w:tr>
            <w:tr>
              <w:tblPrEx>
                <w:shd w:val="clear" w:color="auto" w:fill="auto"/>
                <w:tblCellMar>
                  <w:top w:w="15" w:type="dxa"/>
                  <w:left w:w="15" w:type="dxa"/>
                  <w:bottom w:w="15" w:type="dxa"/>
                  <w:right w:w="15" w:type="dxa"/>
                </w:tblCellMar>
              </w:tblPrEx>
              <w:trPr>
                <w:trHeight w:val="355"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夷G[2018]31号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东城试验区梅子垭村</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35415</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商住</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暂停挂牌</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w:t>
                  </w:r>
                </w:p>
              </w:tc>
            </w:tr>
            <w:tr>
              <w:tblPrEx>
                <w:shd w:val="clear" w:color="auto" w:fill="auto"/>
                <w:tblCellMar>
                  <w:top w:w="15" w:type="dxa"/>
                  <w:left w:w="15" w:type="dxa"/>
                  <w:bottom w:w="15" w:type="dxa"/>
                  <w:right w:w="15" w:type="dxa"/>
                </w:tblCellMar>
              </w:tblPrEx>
              <w:trPr>
                <w:trHeight w:val="355" w:hRule="atLeast"/>
              </w:trPr>
              <w:tc>
                <w:tcPr>
                  <w:tcW w:w="61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1534"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夷G[2018]32号</w:t>
                  </w:r>
                </w:p>
              </w:tc>
              <w:tc>
                <w:tcPr>
                  <w:tcW w:w="1928"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东城试验区梅子垭村</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24351.17</w:t>
                  </w:r>
                </w:p>
              </w:tc>
              <w:tc>
                <w:tcPr>
                  <w:tcW w:w="64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商住</w:t>
                  </w:r>
                </w:p>
              </w:tc>
              <w:tc>
                <w:tcPr>
                  <w:tcW w:w="2163"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湖北夷陵经济发展集团有限公司</w:t>
                  </w:r>
                </w:p>
              </w:tc>
              <w:tc>
                <w:tcPr>
                  <w:tcW w:w="97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36300</w:t>
                  </w:r>
                </w:p>
              </w:tc>
              <w:tc>
                <w:tcPr>
                  <w:tcW w:w="869"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1.40%</w:t>
                  </w:r>
                </w:p>
              </w:tc>
            </w:tr>
            <w:tr>
              <w:tblPrEx>
                <w:shd w:val="clear" w:color="auto" w:fill="auto"/>
                <w:tblCellMar>
                  <w:top w:w="15" w:type="dxa"/>
                  <w:left w:w="15" w:type="dxa"/>
                  <w:bottom w:w="15" w:type="dxa"/>
                  <w:right w:w="15" w:type="dxa"/>
                </w:tblCellMar>
              </w:tblPrEx>
              <w:trPr>
                <w:trHeight w:val="355" w:hRule="atLeast"/>
              </w:trPr>
              <w:tc>
                <w:tcPr>
                  <w:tcW w:w="612" w:type="dxa"/>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534"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928"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11343.8</w:t>
                  </w:r>
                </w:p>
              </w:tc>
              <w:tc>
                <w:tcPr>
                  <w:tcW w:w="640"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2163"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970"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86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r>
            <w:tr>
              <w:tblPrEx>
                <w:shd w:val="clear" w:color="auto" w:fill="auto"/>
                <w:tblCellMar>
                  <w:top w:w="15" w:type="dxa"/>
                  <w:left w:w="15" w:type="dxa"/>
                  <w:bottom w:w="15" w:type="dxa"/>
                  <w:right w:w="15" w:type="dxa"/>
                </w:tblCellMar>
              </w:tblPrEx>
              <w:trPr>
                <w:trHeight w:val="355" w:hRule="atLeast"/>
              </w:trPr>
              <w:tc>
                <w:tcPr>
                  <w:tcW w:w="612" w:type="dxa"/>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534"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928"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29759.64</w:t>
                  </w:r>
                </w:p>
              </w:tc>
              <w:tc>
                <w:tcPr>
                  <w:tcW w:w="640"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2163"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970"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86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r>
            <w:tr>
              <w:tblPrEx>
                <w:shd w:val="clear" w:color="auto" w:fill="auto"/>
                <w:tblCellMar>
                  <w:top w:w="15" w:type="dxa"/>
                  <w:left w:w="15" w:type="dxa"/>
                  <w:bottom w:w="15" w:type="dxa"/>
                  <w:right w:w="15" w:type="dxa"/>
                </w:tblCellMar>
              </w:tblPrEx>
              <w:trPr>
                <w:trHeight w:val="67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 33 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猇亭区车站路</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2243.42</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宜昌新程汽车零部件有限公司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65</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r>
              <w:tblPrEx>
                <w:shd w:val="clear" w:color="auto" w:fill="auto"/>
                <w:tblCellMar>
                  <w:top w:w="15" w:type="dxa"/>
                  <w:left w:w="15" w:type="dxa"/>
                  <w:bottom w:w="15" w:type="dxa"/>
                  <w:right w:w="15" w:type="dxa"/>
                </w:tblCellMar>
              </w:tblPrEx>
              <w:trPr>
                <w:trHeight w:val="67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 34号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猇亭区车站路</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2941.47</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宜昌富强汽车部件有限公司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85</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r>
              <w:tblPrEx>
                <w:tblCellMar>
                  <w:top w:w="15" w:type="dxa"/>
                  <w:left w:w="15" w:type="dxa"/>
                  <w:bottom w:w="15" w:type="dxa"/>
                  <w:right w:w="15" w:type="dxa"/>
                </w:tblCellMar>
              </w:tblPrEx>
              <w:trPr>
                <w:trHeight w:val="67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 35号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电子信息产业园</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510.01</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宜昌迅达车用技术有限责任公司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r>
              <w:tblPrEx>
                <w:shd w:val="clear" w:color="auto" w:fill="auto"/>
                <w:tblCellMar>
                  <w:top w:w="15" w:type="dxa"/>
                  <w:left w:w="15" w:type="dxa"/>
                  <w:bottom w:w="15" w:type="dxa"/>
                  <w:right w:w="15" w:type="dxa"/>
                </w:tblCellMar>
              </w:tblPrEx>
              <w:trPr>
                <w:trHeight w:val="67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 36号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东山园区长机路与青岛路交汇处</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42287.12</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宜昌长机科技有限责任公司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5058</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r>
              <w:tblPrEx>
                <w:shd w:val="clear" w:color="auto" w:fill="auto"/>
                <w:tblCellMar>
                  <w:top w:w="15" w:type="dxa"/>
                  <w:left w:w="15" w:type="dxa"/>
                  <w:bottom w:w="15" w:type="dxa"/>
                  <w:right w:w="15" w:type="dxa"/>
                </w:tblCellMar>
              </w:tblPrEx>
              <w:trPr>
                <w:trHeight w:val="67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 37号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东山园区兰台支路东侧</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5601.45</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湖北金扬建设工程有限责任公司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162</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r>
              <w:tblPrEx>
                <w:shd w:val="clear" w:color="auto" w:fill="auto"/>
                <w:tblCellMar>
                  <w:top w:w="15" w:type="dxa"/>
                  <w:left w:w="15" w:type="dxa"/>
                  <w:bottom w:w="15" w:type="dxa"/>
                  <w:right w:w="15" w:type="dxa"/>
                </w:tblCellMar>
              </w:tblPrEx>
              <w:trPr>
                <w:trHeight w:val="67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 38号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猇亭区车站路</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38563.97</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宜昌金酉汽车零部件产业园发展有限公司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1113</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r>
              <w:tblPrEx>
                <w:shd w:val="clear" w:color="auto" w:fill="auto"/>
                <w:tblCellMar>
                  <w:top w:w="15" w:type="dxa"/>
                  <w:left w:w="15" w:type="dxa"/>
                  <w:bottom w:w="15" w:type="dxa"/>
                  <w:right w:w="15" w:type="dxa"/>
                </w:tblCellMar>
              </w:tblPrEx>
              <w:trPr>
                <w:trHeight w:val="67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宜土网挂(2018) 39号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猇亭区逢桥路</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8586</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工业</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宜昌凯正新型材料有限公司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248</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r>
              <w:tblPrEx>
                <w:shd w:val="clear" w:color="auto" w:fill="auto"/>
                <w:tblCellMar>
                  <w:top w:w="15" w:type="dxa"/>
                  <w:left w:w="15" w:type="dxa"/>
                  <w:bottom w:w="15" w:type="dxa"/>
                  <w:right w:w="15" w:type="dxa"/>
                </w:tblCellMar>
              </w:tblPrEx>
              <w:trPr>
                <w:trHeight w:val="67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P（2018）14号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猇亭区机场路延伸段</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140045.35</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物流</w:t>
                  </w:r>
                </w:p>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仓储</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宜昌市交通投资有限公司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10955</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r>
              <w:tblPrEx>
                <w:shd w:val="clear" w:color="auto" w:fill="auto"/>
                <w:tblCellMar>
                  <w:top w:w="15" w:type="dxa"/>
                  <w:left w:w="15" w:type="dxa"/>
                  <w:bottom w:w="15" w:type="dxa"/>
                  <w:right w:w="15" w:type="dxa"/>
                </w:tblCellMar>
              </w:tblPrEx>
              <w:trPr>
                <w:trHeight w:val="67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P（2018）15号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猇亭区机场路延伸段</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154993.65</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物流仓储</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宜昌市交通投资有限公司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12100</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r>
              <w:tblPrEx>
                <w:tblCellMar>
                  <w:top w:w="15" w:type="dxa"/>
                  <w:left w:w="15" w:type="dxa"/>
                  <w:bottom w:w="15" w:type="dxa"/>
                  <w:right w:w="15" w:type="dxa"/>
                </w:tblCellMar>
              </w:tblPrEx>
              <w:trPr>
                <w:trHeight w:val="680" w:hRule="atLeast"/>
              </w:trPr>
              <w:tc>
                <w:tcPr>
                  <w:tcW w:w="6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w:t>
                  </w:r>
                </w:p>
              </w:tc>
              <w:tc>
                <w:tcPr>
                  <w:tcW w:w="15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P（2018）16号</w:t>
                  </w:r>
                </w:p>
              </w:tc>
              <w:tc>
                <w:tcPr>
                  <w:tcW w:w="19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高新区生物产业园百灵路与桔乡路交汇处</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5050.26</w:t>
                  </w:r>
                </w:p>
              </w:tc>
              <w:tc>
                <w:tcPr>
                  <w:tcW w:w="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商业</w:t>
                  </w:r>
                </w:p>
              </w:tc>
              <w:tc>
                <w:tcPr>
                  <w:tcW w:w="21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宜昌高新投资开发有限公司</w:t>
                  </w:r>
                </w:p>
              </w:tc>
              <w:tc>
                <w:tcPr>
                  <w:tcW w:w="9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2210</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0.00%</w:t>
                  </w:r>
                </w:p>
              </w:tc>
            </w:tr>
          </w:tbl>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 </w:t>
            </w:r>
          </w:p>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b w:val="0"/>
                <w:i w:val="0"/>
                <w:caps w:val="0"/>
                <w:color w:val="222222"/>
                <w:spacing w:val="0"/>
                <w:kern w:val="0"/>
                <w:sz w:val="21"/>
                <w:szCs w:val="21"/>
                <w:shd w:val="clear" w:fill="FFFFFF"/>
                <w:lang w:val="en-US" w:eastAsia="zh-CN" w:bidi="ar"/>
              </w:rPr>
              <w:t>环比2018年11月，</w:t>
            </w:r>
            <w:r>
              <w:rPr>
                <w:rFonts w:hint="eastAsia" w:ascii="微软雅黑" w:hAnsi="微软雅黑" w:eastAsia="微软雅黑" w:cs="微软雅黑"/>
                <w:b/>
                <w:i w:val="0"/>
                <w:caps w:val="0"/>
                <w:color w:val="222222"/>
                <w:spacing w:val="0"/>
                <w:kern w:val="0"/>
                <w:sz w:val="21"/>
                <w:szCs w:val="21"/>
                <w:shd w:val="clear" w:fill="FFFFFF"/>
                <w:lang w:val="en-US" w:eastAsia="zh-CN" w:bidi="ar"/>
              </w:rPr>
              <w:t>12月土地成交数量、成交面积、成交金额均大幅上涨，</w:t>
            </w:r>
            <w:r>
              <w:rPr>
                <w:rFonts w:hint="eastAsia" w:ascii="微软雅黑" w:hAnsi="微软雅黑" w:eastAsia="微软雅黑" w:cs="微软雅黑"/>
                <w:b w:val="0"/>
                <w:i w:val="0"/>
                <w:caps w:val="0"/>
                <w:color w:val="222222"/>
                <w:spacing w:val="0"/>
                <w:kern w:val="0"/>
                <w:sz w:val="21"/>
                <w:szCs w:val="21"/>
                <w:shd w:val="clear" w:fill="FFFFFF"/>
                <w:lang w:val="en-US" w:eastAsia="zh-CN" w:bidi="ar"/>
              </w:rPr>
              <w:t>环比涨幅分别为266.67%、4888.39%、2437.56%。</w:t>
            </w:r>
            <w:r>
              <w:rPr>
                <w:rFonts w:hint="eastAsia" w:ascii="微软雅黑" w:hAnsi="微软雅黑" w:eastAsia="微软雅黑" w:cs="微软雅黑"/>
                <w:caps w:val="0"/>
                <w:spacing w:val="0"/>
                <w:kern w:val="0"/>
                <w:sz w:val="21"/>
                <w:szCs w:val="21"/>
                <w:shd w:val="clear" w:fill="FFFFFF"/>
                <w:lang w:val="en-US" w:eastAsia="zh-CN" w:bidi="ar"/>
              </w:rPr>
              <w:t>。</w:t>
            </w:r>
          </w:p>
          <w:tbl>
            <w:tblPr>
              <w:tblStyle w:val="3"/>
              <w:tblW w:w="9720" w:type="dxa"/>
              <w:tblInd w:w="83" w:type="dxa"/>
              <w:shd w:val="clear" w:color="auto" w:fill="auto"/>
              <w:tblLayout w:type="fixed"/>
              <w:tblCellMar>
                <w:top w:w="15" w:type="dxa"/>
                <w:left w:w="15" w:type="dxa"/>
                <w:bottom w:w="15" w:type="dxa"/>
                <w:right w:w="15" w:type="dxa"/>
              </w:tblCellMar>
            </w:tblPr>
            <w:tblGrid>
              <w:gridCol w:w="2034"/>
              <w:gridCol w:w="2632"/>
              <w:gridCol w:w="2213"/>
              <w:gridCol w:w="2841"/>
            </w:tblGrid>
            <w:tr>
              <w:tblPrEx>
                <w:shd w:val="clear" w:color="auto" w:fill="auto"/>
                <w:tblCellMar>
                  <w:top w:w="15" w:type="dxa"/>
                  <w:left w:w="15" w:type="dxa"/>
                  <w:bottom w:w="15" w:type="dxa"/>
                  <w:right w:w="15" w:type="dxa"/>
                </w:tblCellMar>
              </w:tblPrEx>
              <w:trPr>
                <w:trHeight w:val="405" w:hRule="atLeast"/>
              </w:trPr>
              <w:tc>
                <w:tcPr>
                  <w:tcW w:w="9720" w:type="dxa"/>
                  <w:gridSpan w:val="4"/>
                  <w:tcBorders>
                    <w:top w:val="single" w:color="000000" w:sz="8" w:space="0"/>
                    <w:left w:val="single" w:color="000000" w:sz="8" w:space="0"/>
                    <w:bottom w:val="single" w:color="000000" w:sz="8" w:space="0"/>
                    <w:right w:val="single" w:color="000000" w:sz="8" w:space="0"/>
                  </w:tcBorders>
                  <w:shd w:val="clear" w:color="auto" w:fill="9CC2E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2018年12月宜昌土地成交环比变化情况</w:t>
                  </w:r>
                </w:p>
              </w:tc>
            </w:tr>
            <w:tr>
              <w:tblPrEx>
                <w:tblCellMar>
                  <w:top w:w="15" w:type="dxa"/>
                  <w:left w:w="15" w:type="dxa"/>
                  <w:bottom w:w="15" w:type="dxa"/>
                  <w:right w:w="15" w:type="dxa"/>
                </w:tblCellMar>
              </w:tblPrEx>
              <w:trPr>
                <w:trHeight w:val="405" w:hRule="atLeast"/>
              </w:trPr>
              <w:tc>
                <w:tcPr>
                  <w:tcW w:w="2034"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时间</w:t>
                  </w:r>
                </w:p>
              </w:tc>
              <w:tc>
                <w:tcPr>
                  <w:tcW w:w="2632"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土地出让数量（幅）</w:t>
                  </w:r>
                </w:p>
              </w:tc>
              <w:tc>
                <w:tcPr>
                  <w:tcW w:w="2213"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土地出让面积（幅）</w:t>
                  </w:r>
                </w:p>
              </w:tc>
              <w:tc>
                <w:tcPr>
                  <w:tcW w:w="2841"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土地供应金额（万元）</w:t>
                  </w:r>
                </w:p>
              </w:tc>
            </w:tr>
            <w:tr>
              <w:tblPrEx>
                <w:tblCellMar>
                  <w:top w:w="15" w:type="dxa"/>
                  <w:left w:w="15" w:type="dxa"/>
                  <w:bottom w:w="15" w:type="dxa"/>
                  <w:right w:w="15" w:type="dxa"/>
                </w:tblCellMar>
              </w:tblPrEx>
              <w:trPr>
                <w:trHeight w:val="405" w:hRule="atLeast"/>
              </w:trPr>
              <w:tc>
                <w:tcPr>
                  <w:tcW w:w="20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2018年12月</w:t>
                  </w:r>
                </w:p>
              </w:tc>
              <w:tc>
                <w:tcPr>
                  <w:tcW w:w="26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w:t>
                  </w:r>
                </w:p>
              </w:tc>
              <w:tc>
                <w:tcPr>
                  <w:tcW w:w="221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501692.31</w:t>
                  </w:r>
                </w:p>
              </w:tc>
              <w:tc>
                <w:tcPr>
                  <w:tcW w:w="28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68311</w:t>
                  </w:r>
                </w:p>
              </w:tc>
            </w:tr>
            <w:tr>
              <w:tblPrEx>
                <w:tblCellMar>
                  <w:top w:w="15" w:type="dxa"/>
                  <w:left w:w="15" w:type="dxa"/>
                  <w:bottom w:w="15" w:type="dxa"/>
                  <w:right w:w="15" w:type="dxa"/>
                </w:tblCellMar>
              </w:tblPrEx>
              <w:trPr>
                <w:trHeight w:val="405" w:hRule="atLeast"/>
              </w:trPr>
              <w:tc>
                <w:tcPr>
                  <w:tcW w:w="20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2018年11月</w:t>
                  </w:r>
                </w:p>
              </w:tc>
              <w:tc>
                <w:tcPr>
                  <w:tcW w:w="26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221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10057.2</w:t>
                  </w:r>
                </w:p>
              </w:tc>
              <w:tc>
                <w:tcPr>
                  <w:tcW w:w="28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2692</w:t>
                  </w:r>
                </w:p>
              </w:tc>
            </w:tr>
            <w:tr>
              <w:tblPrEx>
                <w:tblCellMar>
                  <w:top w:w="15" w:type="dxa"/>
                  <w:left w:w="15" w:type="dxa"/>
                  <w:bottom w:w="15" w:type="dxa"/>
                  <w:right w:w="15" w:type="dxa"/>
                </w:tblCellMar>
              </w:tblPrEx>
              <w:trPr>
                <w:trHeight w:val="416" w:hRule="atLeast"/>
              </w:trPr>
              <w:tc>
                <w:tcPr>
                  <w:tcW w:w="203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环比变化</w:t>
                  </w:r>
                </w:p>
              </w:tc>
              <w:tc>
                <w:tcPr>
                  <w:tcW w:w="26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FF0000"/>
                      <w:kern w:val="0"/>
                      <w:sz w:val="18"/>
                      <w:szCs w:val="18"/>
                      <w:lang w:val="en-US" w:eastAsia="zh-CN" w:bidi="ar"/>
                    </w:rPr>
                    <w:t>266.67%</w:t>
                  </w:r>
                </w:p>
              </w:tc>
              <w:tc>
                <w:tcPr>
                  <w:tcW w:w="221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FF0000"/>
                      <w:kern w:val="0"/>
                      <w:sz w:val="18"/>
                      <w:szCs w:val="18"/>
                      <w:lang w:val="en-US" w:eastAsia="zh-CN" w:bidi="ar"/>
                    </w:rPr>
                    <w:t>4888.39%</w:t>
                  </w:r>
                </w:p>
              </w:tc>
              <w:tc>
                <w:tcPr>
                  <w:tcW w:w="28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B050"/>
                      <w:kern w:val="0"/>
                      <w:sz w:val="18"/>
                      <w:szCs w:val="18"/>
                      <w:lang w:val="en-US" w:eastAsia="zh-CN" w:bidi="ar"/>
                    </w:rPr>
                    <w:t>2437.56%</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line="420" w:lineRule="atLeast"/>
              <w:ind w:left="0" w:right="0" w:firstLine="480"/>
            </w:pPr>
            <w:r>
              <w:rPr>
                <w:rFonts w:hint="eastAsia" w:ascii="微软雅黑" w:hAnsi="微软雅黑" w:eastAsia="微软雅黑" w:cs="微软雅黑"/>
                <w:b w:val="0"/>
                <w:i w:val="0"/>
                <w:caps w:val="0"/>
                <w:color w:val="222222"/>
                <w:spacing w:val="0"/>
                <w:sz w:val="24"/>
                <w:szCs w:val="24"/>
                <w:shd w:val="clear" w:fill="FFFFFF"/>
              </w:rPr>
              <w:t>同比2017年12月，土地成交数量、成交面积同比小幅上涨，涨幅分别为83.33%、42.48%；成交金额同比下跌，同比降幅约58.76%。除了已成交的土地变化外，2017年12月夷陵区1幅地块暂停挂牌，2幅流拍；而2018年12月仅1幅地块暂停挂牌，流拍率下降。</w:t>
            </w:r>
          </w:p>
          <w:tbl>
            <w:tblPr>
              <w:tblStyle w:val="3"/>
              <w:tblW w:w="9660" w:type="dxa"/>
              <w:tblInd w:w="83" w:type="dxa"/>
              <w:shd w:val="clear" w:color="auto" w:fill="auto"/>
              <w:tblLayout w:type="fixed"/>
              <w:tblCellMar>
                <w:top w:w="15" w:type="dxa"/>
                <w:left w:w="15" w:type="dxa"/>
                <w:bottom w:w="15" w:type="dxa"/>
                <w:right w:w="15" w:type="dxa"/>
              </w:tblCellMar>
            </w:tblPr>
            <w:tblGrid>
              <w:gridCol w:w="1385"/>
              <w:gridCol w:w="2447"/>
              <w:gridCol w:w="3166"/>
              <w:gridCol w:w="2662"/>
            </w:tblGrid>
            <w:tr>
              <w:tblPrEx>
                <w:shd w:val="clear" w:color="auto" w:fill="auto"/>
                <w:tblCellMar>
                  <w:top w:w="15" w:type="dxa"/>
                  <w:left w:w="15" w:type="dxa"/>
                  <w:bottom w:w="15" w:type="dxa"/>
                  <w:right w:w="15" w:type="dxa"/>
                </w:tblCellMar>
              </w:tblPrEx>
              <w:trPr>
                <w:trHeight w:val="405" w:hRule="atLeast"/>
              </w:trPr>
              <w:tc>
                <w:tcPr>
                  <w:tcW w:w="9660" w:type="dxa"/>
                  <w:gridSpan w:val="4"/>
                  <w:tcBorders>
                    <w:top w:val="single" w:color="000000" w:sz="8" w:space="0"/>
                    <w:left w:val="single" w:color="000000" w:sz="8" w:space="0"/>
                    <w:bottom w:val="single" w:color="000000" w:sz="8" w:space="0"/>
                    <w:right w:val="single" w:color="000000" w:sz="8" w:space="0"/>
                  </w:tcBorders>
                  <w:shd w:val="clear" w:color="auto" w:fill="9CC2E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2018年12月宜昌土地成交同比变化情况</w:t>
                  </w:r>
                </w:p>
              </w:tc>
            </w:tr>
            <w:tr>
              <w:tblPrEx>
                <w:tblCellMar>
                  <w:top w:w="15" w:type="dxa"/>
                  <w:left w:w="15" w:type="dxa"/>
                  <w:bottom w:w="15" w:type="dxa"/>
                  <w:right w:w="15" w:type="dxa"/>
                </w:tblCellMar>
              </w:tblPrEx>
              <w:trPr>
                <w:trHeight w:val="405" w:hRule="atLeast"/>
              </w:trPr>
              <w:tc>
                <w:tcPr>
                  <w:tcW w:w="1385"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时间</w:t>
                  </w:r>
                </w:p>
              </w:tc>
              <w:tc>
                <w:tcPr>
                  <w:tcW w:w="2447"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土地出让数量（幅）</w:t>
                  </w:r>
                </w:p>
              </w:tc>
              <w:tc>
                <w:tcPr>
                  <w:tcW w:w="3166"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土地出让面积（㎡）</w:t>
                  </w:r>
                </w:p>
              </w:tc>
              <w:tc>
                <w:tcPr>
                  <w:tcW w:w="2662"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土地供应金额（万元）</w:t>
                  </w:r>
                </w:p>
              </w:tc>
            </w:tr>
            <w:tr>
              <w:tblPrEx>
                <w:tblCellMar>
                  <w:top w:w="15" w:type="dxa"/>
                  <w:left w:w="15" w:type="dxa"/>
                  <w:bottom w:w="15" w:type="dxa"/>
                  <w:right w:w="15" w:type="dxa"/>
                </w:tblCellMar>
              </w:tblPrEx>
              <w:trPr>
                <w:trHeight w:val="405" w:hRule="atLeast"/>
              </w:trPr>
              <w:tc>
                <w:tcPr>
                  <w:tcW w:w="13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2018年12月</w:t>
                  </w:r>
                </w:p>
              </w:tc>
              <w:tc>
                <w:tcPr>
                  <w:tcW w:w="24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w:t>
                  </w:r>
                </w:p>
              </w:tc>
              <w:tc>
                <w:tcPr>
                  <w:tcW w:w="3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501692.31</w:t>
                  </w:r>
                </w:p>
              </w:tc>
              <w:tc>
                <w:tcPr>
                  <w:tcW w:w="266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68311</w:t>
                  </w:r>
                </w:p>
              </w:tc>
            </w:tr>
            <w:tr>
              <w:tblPrEx>
                <w:tblCellMar>
                  <w:top w:w="15" w:type="dxa"/>
                  <w:left w:w="15" w:type="dxa"/>
                  <w:bottom w:w="15" w:type="dxa"/>
                  <w:right w:w="15" w:type="dxa"/>
                </w:tblCellMar>
              </w:tblPrEx>
              <w:trPr>
                <w:trHeight w:val="405" w:hRule="atLeast"/>
              </w:trPr>
              <w:tc>
                <w:tcPr>
                  <w:tcW w:w="13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2017年12月</w:t>
                  </w:r>
                </w:p>
              </w:tc>
              <w:tc>
                <w:tcPr>
                  <w:tcW w:w="24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w:t>
                  </w:r>
                </w:p>
              </w:tc>
              <w:tc>
                <w:tcPr>
                  <w:tcW w:w="3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352123.71</w:t>
                  </w:r>
                </w:p>
              </w:tc>
              <w:tc>
                <w:tcPr>
                  <w:tcW w:w="266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165647.2</w:t>
                  </w:r>
                </w:p>
              </w:tc>
            </w:tr>
            <w:tr>
              <w:tblPrEx>
                <w:tblCellMar>
                  <w:top w:w="15" w:type="dxa"/>
                  <w:left w:w="15" w:type="dxa"/>
                  <w:bottom w:w="15" w:type="dxa"/>
                  <w:right w:w="15" w:type="dxa"/>
                </w:tblCellMar>
              </w:tblPrEx>
              <w:trPr>
                <w:trHeight w:val="416" w:hRule="atLeast"/>
              </w:trPr>
              <w:tc>
                <w:tcPr>
                  <w:tcW w:w="138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同比变化</w:t>
                  </w:r>
                </w:p>
              </w:tc>
              <w:tc>
                <w:tcPr>
                  <w:tcW w:w="24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FF0000"/>
                      <w:kern w:val="0"/>
                      <w:sz w:val="18"/>
                      <w:szCs w:val="18"/>
                      <w:lang w:val="en-US" w:eastAsia="zh-CN" w:bidi="ar"/>
                    </w:rPr>
                    <w:t>83.33%</w:t>
                  </w:r>
                </w:p>
              </w:tc>
              <w:tc>
                <w:tcPr>
                  <w:tcW w:w="3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FF0000"/>
                      <w:kern w:val="0"/>
                      <w:sz w:val="18"/>
                      <w:szCs w:val="18"/>
                      <w:lang w:val="en-US" w:eastAsia="zh-CN" w:bidi="ar"/>
                    </w:rPr>
                    <w:t>42.48%</w:t>
                  </w:r>
                </w:p>
              </w:tc>
              <w:tc>
                <w:tcPr>
                  <w:tcW w:w="266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firstLine="900"/>
                    <w:jc w:val="left"/>
                    <w:textAlignment w:val="center"/>
                  </w:pPr>
                  <w:r>
                    <w:rPr>
                      <w:rFonts w:hint="eastAsia" w:ascii="微软雅黑" w:hAnsi="微软雅黑" w:eastAsia="微软雅黑" w:cs="微软雅黑"/>
                      <w:b/>
                      <w:i w:val="0"/>
                      <w:color w:val="00B050"/>
                      <w:kern w:val="0"/>
                      <w:sz w:val="18"/>
                      <w:szCs w:val="18"/>
                      <w:lang w:val="en-US" w:eastAsia="zh-CN" w:bidi="ar"/>
                    </w:rPr>
                    <w:t>-58.76%</w:t>
                  </w:r>
                </w:p>
              </w:tc>
            </w:tr>
          </w:tbl>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第三部分   楼市现状分析</w:t>
            </w:r>
          </w:p>
          <w:p>
            <w:pPr>
              <w:keepNext w:val="0"/>
              <w:keepLines w:val="0"/>
              <w:widowControl/>
              <w:suppressLineNumbers w:val="0"/>
              <w:spacing w:before="0" w:beforeAutospacing="1" w:after="0" w:afterAutospacing="1" w:line="216" w:lineRule="atLeast"/>
              <w:ind w:left="0" w:right="0" w:firstLine="480"/>
              <w:jc w:val="left"/>
            </w:pPr>
            <w:r>
              <w:rPr>
                <w:rFonts w:hint="eastAsia" w:ascii="微软雅黑" w:hAnsi="微软雅黑" w:eastAsia="微软雅黑" w:cs="微软雅黑"/>
                <w:b/>
                <w:caps w:val="0"/>
                <w:spacing w:val="0"/>
                <w:kern w:val="0"/>
                <w:sz w:val="24"/>
                <w:szCs w:val="24"/>
                <w:shd w:val="clear" w:fill="FFFFFF"/>
                <w:lang w:val="en-US" w:eastAsia="zh-CN" w:bidi="ar"/>
              </w:rPr>
              <w:t>一、12月宜昌楼市成交情况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line="216" w:lineRule="atLeast"/>
              <w:ind w:left="0" w:right="0" w:firstLine="420"/>
            </w:pPr>
            <w:r>
              <w:rPr>
                <w:rFonts w:hint="eastAsia" w:ascii="微软雅黑" w:hAnsi="微软雅黑" w:eastAsia="微软雅黑" w:cs="微软雅黑"/>
                <w:b w:val="0"/>
                <w:i w:val="0"/>
                <w:caps w:val="0"/>
                <w:color w:val="222222"/>
                <w:spacing w:val="0"/>
                <w:sz w:val="21"/>
                <w:szCs w:val="21"/>
                <w:shd w:val="clear" w:fill="FFFFFF"/>
              </w:rPr>
              <w:t>12月份宜昌市场，年底新房成交量三连涨，楼市在年末喜迎暖冬。本月</w:t>
            </w:r>
            <w:r>
              <w:rPr>
                <w:rFonts w:hint="eastAsia" w:ascii="微软雅黑" w:hAnsi="微软雅黑" w:eastAsia="微软雅黑" w:cs="微软雅黑"/>
                <w:b/>
                <w:i w:val="0"/>
                <w:caps w:val="0"/>
                <w:color w:val="222222"/>
                <w:spacing w:val="0"/>
                <w:sz w:val="21"/>
                <w:szCs w:val="21"/>
                <w:shd w:val="clear" w:fill="FFFFFF"/>
              </w:rPr>
              <w:t>夷陵区本月实力爆发，反超伍家，单月成交923套，</w:t>
            </w:r>
            <w:r>
              <w:rPr>
                <w:rFonts w:hint="eastAsia" w:ascii="微软雅黑" w:hAnsi="微软雅黑" w:eastAsia="微软雅黑" w:cs="微软雅黑"/>
                <w:b w:val="0"/>
                <w:i w:val="0"/>
                <w:caps w:val="0"/>
                <w:color w:val="222222"/>
                <w:spacing w:val="0"/>
                <w:sz w:val="21"/>
                <w:szCs w:val="21"/>
                <w:shd w:val="clear" w:fill="FFFFFF"/>
              </w:rPr>
              <w:t>首次成为销冠片区。</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b w:val="0"/>
                <w:i w:val="0"/>
                <w:caps w:val="0"/>
                <w:color w:val="222222"/>
                <w:spacing w:val="0"/>
                <w:kern w:val="0"/>
                <w:sz w:val="21"/>
                <w:szCs w:val="21"/>
                <w:shd w:val="clear" w:fill="FFFFFF"/>
                <w:lang w:val="en-US" w:eastAsia="zh-CN" w:bidi="ar"/>
              </w:rPr>
              <w:t>赶在2018年末，相继传来首个“取消限售”、首个“限价令取消”的案例，全国楼市（尤其是三四线城市）重拾信心，网签量持续回升。宜昌城区（含夷陵区）网签2173套，连续3个月平稳上涨。</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b w:val="0"/>
                <w:i w:val="0"/>
                <w:caps w:val="0"/>
                <w:color w:val="222222"/>
                <w:spacing w:val="0"/>
                <w:kern w:val="0"/>
                <w:sz w:val="21"/>
                <w:szCs w:val="21"/>
                <w:shd w:val="clear" w:fill="FFFFFF"/>
                <w:lang w:val="en-US" w:eastAsia="zh-CN" w:bidi="ar"/>
              </w:rPr>
              <w:t> </w:t>
            </w:r>
          </w:p>
          <w:tbl>
            <w:tblPr>
              <w:tblStyle w:val="3"/>
              <w:tblW w:w="7700" w:type="dxa"/>
              <w:jc w:val="center"/>
              <w:shd w:val="clear" w:color="auto" w:fill="auto"/>
              <w:tblLayout w:type="fixed"/>
              <w:tblCellMar>
                <w:top w:w="15" w:type="dxa"/>
                <w:left w:w="15" w:type="dxa"/>
                <w:bottom w:w="15" w:type="dxa"/>
                <w:right w:w="15" w:type="dxa"/>
              </w:tblCellMar>
            </w:tblPr>
            <w:tblGrid>
              <w:gridCol w:w="1780"/>
              <w:gridCol w:w="2543"/>
              <w:gridCol w:w="3377"/>
            </w:tblGrid>
            <w:tr>
              <w:tblPrEx>
                <w:shd w:val="clear" w:color="auto" w:fill="auto"/>
                <w:tblCellMar>
                  <w:top w:w="15" w:type="dxa"/>
                  <w:left w:w="15" w:type="dxa"/>
                  <w:bottom w:w="15" w:type="dxa"/>
                  <w:right w:w="15" w:type="dxa"/>
                </w:tblCellMar>
              </w:tblPrEx>
              <w:trPr>
                <w:trHeight w:val="370" w:hRule="atLeast"/>
                <w:jc w:val="center"/>
              </w:trPr>
              <w:tc>
                <w:tcPr>
                  <w:tcW w:w="7700" w:type="dxa"/>
                  <w:gridSpan w:val="3"/>
                  <w:tcBorders>
                    <w:top w:val="single" w:color="000000" w:sz="8" w:space="0"/>
                    <w:left w:val="single" w:color="000000" w:sz="8" w:space="0"/>
                    <w:bottom w:val="single" w:color="000000" w:sz="8" w:space="0"/>
                    <w:right w:val="single" w:color="000000" w:sz="8" w:space="0"/>
                  </w:tcBorders>
                  <w:shd w:val="clear" w:color="auto" w:fill="5B9BD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12月宜昌住宅成交量</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区域</w:t>
                  </w:r>
                </w:p>
              </w:tc>
              <w:tc>
                <w:tcPr>
                  <w:tcW w:w="2543"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成交套数（套）</w:t>
                  </w:r>
                </w:p>
              </w:tc>
              <w:tc>
                <w:tcPr>
                  <w:tcW w:w="3377"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成交面积（</w:t>
                  </w:r>
                  <w:r>
                    <w:rPr>
                      <w:rFonts w:hint="eastAsia" w:ascii="宋体" w:hAnsi="宋体" w:eastAsia="宋体" w:cs="宋体"/>
                      <w:b/>
                      <w:i w:val="0"/>
                      <w:color w:val="000000"/>
                      <w:kern w:val="0"/>
                      <w:sz w:val="18"/>
                      <w:szCs w:val="18"/>
                      <w:lang w:val="en-US" w:eastAsia="zh-CN" w:bidi="ar"/>
                    </w:rPr>
                    <w:t>㎡</w:t>
                  </w:r>
                  <w:r>
                    <w:rPr>
                      <w:rFonts w:hint="eastAsia" w:ascii="微软雅黑" w:hAnsi="微软雅黑" w:eastAsia="微软雅黑" w:cs="微软雅黑"/>
                      <w:b/>
                      <w:i w:val="0"/>
                      <w:color w:val="000000"/>
                      <w:kern w:val="0"/>
                      <w:sz w:val="18"/>
                      <w:szCs w:val="18"/>
                      <w:lang w:val="en-US" w:eastAsia="zh-CN" w:bidi="ar"/>
                    </w:rPr>
                    <w:t>）</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西陵区</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289</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30784.91</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伍家区</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553</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64676.67</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点军区</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142</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23367.25</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923</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103868.34</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214</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26380.56</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开发区</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52</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5738.22</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FF0000"/>
                      <w:kern w:val="0"/>
                      <w:sz w:val="18"/>
                      <w:szCs w:val="18"/>
                      <w:lang w:val="en-US" w:eastAsia="zh-CN" w:bidi="ar"/>
                    </w:rPr>
                    <w:t>总计</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FF0000"/>
                      <w:kern w:val="0"/>
                      <w:sz w:val="18"/>
                      <w:szCs w:val="18"/>
                      <w:lang w:val="en-US" w:eastAsia="zh-CN" w:bidi="ar"/>
                    </w:rPr>
                    <w:t>2173</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FF0000"/>
                      <w:kern w:val="0"/>
                      <w:sz w:val="18"/>
                      <w:szCs w:val="18"/>
                      <w:lang w:val="en-US" w:eastAsia="zh-CN" w:bidi="ar"/>
                    </w:rPr>
                    <w:t>254815.95</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时间</w:t>
                  </w:r>
                </w:p>
              </w:tc>
              <w:tc>
                <w:tcPr>
                  <w:tcW w:w="2543"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成交套数（套）</w:t>
                  </w:r>
                </w:p>
              </w:tc>
              <w:tc>
                <w:tcPr>
                  <w:tcW w:w="3377"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成交面积（</w:t>
                  </w:r>
                  <w:r>
                    <w:rPr>
                      <w:rFonts w:hint="eastAsia" w:ascii="宋体" w:hAnsi="宋体" w:eastAsia="宋体" w:cs="宋体"/>
                      <w:b/>
                      <w:i w:val="0"/>
                      <w:color w:val="000000"/>
                      <w:kern w:val="0"/>
                      <w:sz w:val="18"/>
                      <w:szCs w:val="18"/>
                      <w:lang w:val="en-US" w:eastAsia="zh-CN" w:bidi="ar"/>
                    </w:rPr>
                    <w:t>㎡</w:t>
                  </w:r>
                  <w:r>
                    <w:rPr>
                      <w:rFonts w:hint="eastAsia" w:ascii="微软雅黑" w:hAnsi="微软雅黑" w:eastAsia="微软雅黑" w:cs="微软雅黑"/>
                      <w:b/>
                      <w:i w:val="0"/>
                      <w:color w:val="000000"/>
                      <w:kern w:val="0"/>
                      <w:sz w:val="18"/>
                      <w:szCs w:val="18"/>
                      <w:lang w:val="en-US" w:eastAsia="zh-CN" w:bidi="ar"/>
                    </w:rPr>
                    <w:t>）</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2018年11月</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1523</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181808.3</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2018年12月</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2173</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254815.95</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2017年12月</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4528</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523899.06</w:t>
                  </w:r>
                </w:p>
              </w:tc>
            </w:tr>
            <w:tr>
              <w:tblPrEx>
                <w:tblCellMar>
                  <w:top w:w="15" w:type="dxa"/>
                  <w:left w:w="15" w:type="dxa"/>
                  <w:bottom w:w="15" w:type="dxa"/>
                  <w:right w:w="15" w:type="dxa"/>
                </w:tblCellMar>
              </w:tblPrEx>
              <w:trPr>
                <w:trHeight w:val="370"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环比</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FF0000"/>
                      <w:kern w:val="0"/>
                      <w:sz w:val="18"/>
                      <w:szCs w:val="18"/>
                      <w:lang w:val="en-US" w:eastAsia="zh-CN" w:bidi="ar"/>
                    </w:rPr>
                    <w:t>42.68%</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FF0000"/>
                      <w:kern w:val="0"/>
                      <w:sz w:val="18"/>
                      <w:szCs w:val="18"/>
                      <w:lang w:val="en-US" w:eastAsia="zh-CN" w:bidi="ar"/>
                    </w:rPr>
                    <w:t>40.16%</w:t>
                  </w:r>
                </w:p>
              </w:tc>
            </w:tr>
            <w:tr>
              <w:tblPrEx>
                <w:tblCellMar>
                  <w:top w:w="15" w:type="dxa"/>
                  <w:left w:w="15" w:type="dxa"/>
                  <w:bottom w:w="15" w:type="dxa"/>
                  <w:right w:w="15" w:type="dxa"/>
                </w:tblCellMar>
              </w:tblPrEx>
              <w:trPr>
                <w:trHeight w:val="389" w:hRule="atLeast"/>
                <w:jc w:val="center"/>
              </w:trPr>
              <w:tc>
                <w:tcPr>
                  <w:tcW w:w="17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同比</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B050"/>
                      <w:kern w:val="0"/>
                      <w:sz w:val="18"/>
                      <w:szCs w:val="18"/>
                      <w:lang w:val="en-US" w:eastAsia="zh-CN" w:bidi="ar"/>
                    </w:rPr>
                    <w:t>-52.01%</w:t>
                  </w:r>
                </w:p>
              </w:tc>
              <w:tc>
                <w:tcPr>
                  <w:tcW w:w="3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B050"/>
                      <w:kern w:val="0"/>
                      <w:sz w:val="18"/>
                      <w:szCs w:val="18"/>
                      <w:lang w:val="en-US" w:eastAsia="zh-CN" w:bidi="ar"/>
                    </w:rPr>
                    <w:t>-51.36%</w:t>
                  </w:r>
                </w:p>
              </w:tc>
            </w:tr>
          </w:tbl>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b w:val="0"/>
                <w:i w:val="0"/>
                <w:caps w:val="0"/>
                <w:color w:val="000000"/>
                <w:spacing w:val="0"/>
                <w:kern w:val="0"/>
                <w:sz w:val="21"/>
                <w:szCs w:val="21"/>
                <w:lang w:val="en-US" w:eastAsia="zh-CN" w:bidi="ar"/>
              </w:rPr>
              <w:t> </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b w:val="0"/>
                <w:i w:val="0"/>
                <w:caps w:val="0"/>
                <w:color w:val="000000"/>
                <w:spacing w:val="0"/>
                <w:kern w:val="0"/>
                <w:sz w:val="21"/>
                <w:szCs w:val="21"/>
                <w:lang w:val="en-US" w:eastAsia="zh-CN" w:bidi="ar"/>
              </w:rPr>
              <w:t>12月宜昌城区新房住宅网签共计</w:t>
            </w:r>
            <w:r>
              <w:rPr>
                <w:rFonts w:hint="eastAsia" w:ascii="微软雅黑" w:hAnsi="微软雅黑" w:eastAsia="微软雅黑" w:cs="微软雅黑"/>
                <w:b/>
                <w:i w:val="0"/>
                <w:caps w:val="0"/>
                <w:color w:val="000000"/>
                <w:spacing w:val="0"/>
                <w:kern w:val="0"/>
                <w:sz w:val="21"/>
                <w:szCs w:val="21"/>
                <w:lang w:val="en-US" w:eastAsia="zh-CN" w:bidi="ar"/>
              </w:rPr>
              <w:t>2173套，</w:t>
            </w:r>
            <w:r>
              <w:rPr>
                <w:rFonts w:hint="eastAsia" w:ascii="微软雅黑" w:hAnsi="微软雅黑" w:eastAsia="微软雅黑" w:cs="微软雅黑"/>
                <w:b w:val="0"/>
                <w:i w:val="0"/>
                <w:caps w:val="0"/>
                <w:color w:val="000000"/>
                <w:spacing w:val="0"/>
                <w:kern w:val="0"/>
                <w:sz w:val="21"/>
                <w:szCs w:val="21"/>
                <w:lang w:val="en-US" w:eastAsia="zh-CN" w:bidi="ar"/>
              </w:rPr>
              <w:t>成交量较11月份增加650套，</w:t>
            </w:r>
            <w:r>
              <w:rPr>
                <w:rFonts w:hint="eastAsia" w:ascii="微软雅黑" w:hAnsi="微软雅黑" w:eastAsia="微软雅黑" w:cs="微软雅黑"/>
                <w:b/>
                <w:i w:val="0"/>
                <w:caps w:val="0"/>
                <w:color w:val="000000"/>
                <w:spacing w:val="0"/>
                <w:kern w:val="0"/>
                <w:sz w:val="21"/>
                <w:szCs w:val="21"/>
                <w:lang w:val="en-US" w:eastAsia="zh-CN" w:bidi="ar"/>
              </w:rPr>
              <w:t>环比上涨42.68%，</w:t>
            </w:r>
            <w:r>
              <w:rPr>
                <w:rFonts w:hint="eastAsia" w:ascii="微软雅黑" w:hAnsi="微软雅黑" w:eastAsia="微软雅黑" w:cs="微软雅黑"/>
                <w:b w:val="0"/>
                <w:i w:val="0"/>
                <w:caps w:val="0"/>
                <w:color w:val="000000"/>
                <w:spacing w:val="0"/>
                <w:kern w:val="0"/>
                <w:sz w:val="21"/>
                <w:szCs w:val="21"/>
                <w:lang w:val="en-US" w:eastAsia="zh-CN" w:bidi="ar"/>
              </w:rPr>
              <w:t>同比17年12月份减少2355，</w:t>
            </w:r>
            <w:r>
              <w:rPr>
                <w:rFonts w:hint="eastAsia" w:ascii="微软雅黑" w:hAnsi="微软雅黑" w:eastAsia="微软雅黑" w:cs="微软雅黑"/>
                <w:b/>
                <w:i w:val="0"/>
                <w:caps w:val="0"/>
                <w:color w:val="000000"/>
                <w:spacing w:val="0"/>
                <w:kern w:val="0"/>
                <w:sz w:val="21"/>
                <w:szCs w:val="21"/>
                <w:lang w:val="en-US" w:eastAsia="zh-CN" w:bidi="ar"/>
              </w:rPr>
              <w:t>同比下跌52.01%</w:t>
            </w:r>
            <w:r>
              <w:rPr>
                <w:rFonts w:hint="eastAsia" w:ascii="微软雅黑" w:hAnsi="微软雅黑" w:eastAsia="微软雅黑" w:cs="微软雅黑"/>
                <w:b w:val="0"/>
                <w:i w:val="0"/>
                <w:caps w:val="0"/>
                <w:color w:val="000000"/>
                <w:spacing w:val="0"/>
                <w:kern w:val="0"/>
                <w:sz w:val="21"/>
                <w:szCs w:val="21"/>
                <w:lang w:val="en-US" w:eastAsia="zh-CN" w:bidi="ar"/>
              </w:rPr>
              <w:t>；</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b w:val="0"/>
                <w:i w:val="0"/>
                <w:caps w:val="0"/>
                <w:color w:val="000000"/>
                <w:spacing w:val="0"/>
                <w:kern w:val="0"/>
                <w:sz w:val="21"/>
                <w:szCs w:val="21"/>
                <w:lang w:val="en-US" w:eastAsia="zh-CN" w:bidi="ar"/>
              </w:rPr>
              <w:t>12月成交面积共计约</w:t>
            </w:r>
            <w:r>
              <w:rPr>
                <w:rFonts w:hint="eastAsia" w:ascii="微软雅黑" w:hAnsi="微软雅黑" w:eastAsia="微软雅黑" w:cs="微软雅黑"/>
                <w:b/>
                <w:i w:val="0"/>
                <w:caps w:val="0"/>
                <w:color w:val="000000"/>
                <w:spacing w:val="0"/>
                <w:kern w:val="0"/>
                <w:sz w:val="21"/>
                <w:szCs w:val="21"/>
                <w:lang w:val="en-US" w:eastAsia="zh-CN" w:bidi="ar"/>
              </w:rPr>
              <w:t>25万㎡，</w:t>
            </w:r>
            <w:r>
              <w:rPr>
                <w:rFonts w:hint="eastAsia" w:ascii="微软雅黑" w:hAnsi="微软雅黑" w:eastAsia="微软雅黑" w:cs="微软雅黑"/>
                <w:b w:val="0"/>
                <w:i w:val="0"/>
                <w:caps w:val="0"/>
                <w:color w:val="000000"/>
                <w:spacing w:val="0"/>
                <w:kern w:val="0"/>
                <w:sz w:val="21"/>
                <w:szCs w:val="21"/>
                <w:lang w:val="en-US" w:eastAsia="zh-CN" w:bidi="ar"/>
              </w:rPr>
              <w:t>较11月份增加7.3万方，</w:t>
            </w:r>
            <w:r>
              <w:rPr>
                <w:rFonts w:hint="eastAsia" w:ascii="微软雅黑" w:hAnsi="微软雅黑" w:eastAsia="微软雅黑" w:cs="微软雅黑"/>
                <w:b/>
                <w:i w:val="0"/>
                <w:caps w:val="0"/>
                <w:color w:val="000000"/>
                <w:spacing w:val="0"/>
                <w:kern w:val="0"/>
                <w:sz w:val="21"/>
                <w:szCs w:val="21"/>
                <w:lang w:val="en-US" w:eastAsia="zh-CN" w:bidi="ar"/>
              </w:rPr>
              <w:t>环比上涨40.16%；</w:t>
            </w:r>
            <w:r>
              <w:rPr>
                <w:rFonts w:hint="eastAsia" w:ascii="微软雅黑" w:hAnsi="微软雅黑" w:eastAsia="微软雅黑" w:cs="微软雅黑"/>
                <w:b w:val="0"/>
                <w:i w:val="0"/>
                <w:caps w:val="0"/>
                <w:color w:val="000000"/>
                <w:spacing w:val="0"/>
                <w:kern w:val="0"/>
                <w:sz w:val="21"/>
                <w:szCs w:val="21"/>
                <w:lang w:val="en-US" w:eastAsia="zh-CN" w:bidi="ar"/>
              </w:rPr>
              <w:t>较17年12月份较少26.9万方</w:t>
            </w:r>
            <w:r>
              <w:rPr>
                <w:rFonts w:hint="eastAsia" w:ascii="微软雅黑" w:hAnsi="微软雅黑" w:eastAsia="微软雅黑" w:cs="微软雅黑"/>
                <w:b/>
                <w:i w:val="0"/>
                <w:caps w:val="0"/>
                <w:color w:val="000000"/>
                <w:spacing w:val="0"/>
                <w:kern w:val="0"/>
                <w:sz w:val="21"/>
                <w:szCs w:val="21"/>
                <w:lang w:val="en-US" w:eastAsia="zh-CN" w:bidi="ar"/>
              </w:rPr>
              <w:t>，同比下跌51.36%</w:t>
            </w:r>
            <w:r>
              <w:rPr>
                <w:rFonts w:hint="eastAsia" w:ascii="微软雅黑" w:hAnsi="微软雅黑" w:eastAsia="微软雅黑" w:cs="微软雅黑"/>
                <w:b w:val="0"/>
                <w:i w:val="0"/>
                <w:caps w:val="0"/>
                <w:color w:val="000000"/>
                <w:spacing w:val="0"/>
                <w:kern w:val="0"/>
                <w:sz w:val="21"/>
                <w:szCs w:val="21"/>
                <w:lang w:val="en-US" w:eastAsia="zh-CN" w:bidi="ar"/>
              </w:rPr>
              <w:t>。</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b w:val="0"/>
                <w:i w:val="0"/>
                <w:caps w:val="0"/>
                <w:color w:val="000000"/>
                <w:spacing w:val="0"/>
                <w:kern w:val="0"/>
                <w:sz w:val="21"/>
                <w:szCs w:val="21"/>
                <w:lang w:val="en-US" w:eastAsia="zh-CN" w:bidi="ar"/>
              </w:rPr>
              <w:t> </w:t>
            </w:r>
            <w:r>
              <w:rPr>
                <w:rFonts w:hint="eastAsia" w:ascii="微软雅黑" w:hAnsi="微软雅黑" w:eastAsia="微软雅黑" w:cs="微软雅黑"/>
                <w:b w:val="0"/>
                <w:i w:val="0"/>
                <w:caps w:val="0"/>
                <w:color w:val="000000"/>
                <w:spacing w:val="0"/>
                <w:kern w:val="0"/>
                <w:sz w:val="21"/>
                <w:szCs w:val="21"/>
                <w:lang w:val="en-US" w:eastAsia="zh-CN" w:bidi="ar"/>
              </w:rPr>
              <w:drawing>
                <wp:inline distT="0" distB="0" distL="114300" distR="114300">
                  <wp:extent cx="5505450" cy="3990975"/>
                  <wp:effectExtent l="0" t="0" r="11430" b="190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505450" cy="39909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4" w:lineRule="atLeast"/>
              <w:ind w:left="0" w:right="0" w:firstLine="420"/>
              <w:jc w:val="center"/>
            </w:pPr>
            <w:r>
              <w:rPr>
                <w:rFonts w:hint="eastAsia" w:ascii="微软雅黑" w:hAnsi="微软雅黑" w:eastAsia="微软雅黑" w:cs="微软雅黑"/>
                <w:caps w:val="0"/>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val="0"/>
                <w:i w:val="0"/>
                <w:caps w:val="0"/>
                <w:color w:val="000000"/>
                <w:spacing w:val="0"/>
                <w:kern w:val="0"/>
                <w:sz w:val="21"/>
                <w:szCs w:val="21"/>
                <w:lang w:val="en-US" w:eastAsia="zh-CN" w:bidi="ar"/>
              </w:rPr>
              <w:t>      12月夷陵区位居第一，网签923套，占比总量43%，遥遥领先于其他各片区，首次成为销冠片区！昔日的成交之王“伍家区”首次退居第二，网签553套，比夷陵区网签量少近400套，仅占比网签总量25%。另，西陵区位居第三，网签289套，占比13%；猇亭区排名上升，网签214套，占比10%；点军区排名不变，网签142套，占比7%；开发区垫底，网签52套，占比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24" w:lineRule="atLeast"/>
              <w:ind w:left="0" w:right="0" w:firstLine="0"/>
              <w:jc w:val="center"/>
            </w:pPr>
            <w:r>
              <w:rPr>
                <w:rFonts w:hint="eastAsia" w:ascii="宋体" w:hAnsi="宋体" w:eastAsia="宋体" w:cs="宋体"/>
                <w:caps w:val="0"/>
                <w:color w:val="333333"/>
                <w:spacing w:val="0"/>
                <w:sz w:val="24"/>
                <w:szCs w:val="24"/>
                <w:shd w:val="clear" w:fill="FFFFFF"/>
              </w:rPr>
              <w:t> </w:t>
            </w:r>
            <w:r>
              <w:rPr>
                <w:rFonts w:hint="eastAsia" w:ascii="宋体" w:hAnsi="宋体" w:eastAsia="宋体" w:cs="宋体"/>
                <w:caps w:val="0"/>
                <w:color w:val="333333"/>
                <w:spacing w:val="0"/>
                <w:sz w:val="24"/>
                <w:szCs w:val="24"/>
                <w:shd w:val="clear" w:fill="FFFFFF"/>
              </w:rPr>
              <w:drawing>
                <wp:inline distT="0" distB="0" distL="114300" distR="114300">
                  <wp:extent cx="5953125" cy="4152900"/>
                  <wp:effectExtent l="0" t="0" r="5715" b="7620"/>
                  <wp:docPr id="2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8"/>
                          <pic:cNvPicPr>
                            <a:picLocks noChangeAspect="1"/>
                          </pic:cNvPicPr>
                        </pic:nvPicPr>
                        <pic:blipFill>
                          <a:blip r:embed="rId6"/>
                          <a:stretch>
                            <a:fillRect/>
                          </a:stretch>
                        </pic:blipFill>
                        <pic:spPr>
                          <a:xfrm>
                            <a:off x="0" y="0"/>
                            <a:ext cx="5953125" cy="41529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b w:val="0"/>
                <w:i w:val="0"/>
                <w:caps w:val="0"/>
                <w:color w:val="000000"/>
                <w:spacing w:val="0"/>
                <w:kern w:val="0"/>
                <w:sz w:val="21"/>
                <w:szCs w:val="21"/>
                <w:lang w:val="en-US" w:eastAsia="zh-CN" w:bidi="ar"/>
              </w:rPr>
              <w:t>同比去年12月，夷陵区、猇亭区均有上涨，其他片区则相反，均有不同程度的跌幅；环比上个月，夷陵区几乎翻番，猇亭涨幅巨大，伍家、西陵小幅增长。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450" w:lineRule="atLeast"/>
              <w:ind w:left="0" w:right="0"/>
              <w:jc w:val="center"/>
            </w:pPr>
            <w:r>
              <w:rPr>
                <w:rFonts w:hint="eastAsia" w:ascii="微软雅黑" w:hAnsi="微软雅黑" w:eastAsia="微软雅黑" w:cs="微软雅黑"/>
                <w:b w:val="0"/>
                <w:i w:val="0"/>
                <w:caps w:val="0"/>
                <w:color w:val="000000"/>
                <w:spacing w:val="0"/>
                <w:sz w:val="22"/>
                <w:szCs w:val="22"/>
              </w:rPr>
              <w:drawing>
                <wp:inline distT="0" distB="0" distL="114300" distR="114300">
                  <wp:extent cx="6353175" cy="3943350"/>
                  <wp:effectExtent l="0" t="0" r="1905" b="3810"/>
                  <wp:docPr id="2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9"/>
                          <pic:cNvPicPr>
                            <a:picLocks noChangeAspect="1"/>
                          </pic:cNvPicPr>
                        </pic:nvPicPr>
                        <pic:blipFill>
                          <a:blip r:embed="rId7"/>
                          <a:stretch>
                            <a:fillRect/>
                          </a:stretch>
                        </pic:blipFill>
                        <pic:spPr>
                          <a:xfrm>
                            <a:off x="0" y="0"/>
                            <a:ext cx="6353175" cy="3943350"/>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sz w:val="22"/>
                <w:szCs w:val="22"/>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216" w:lineRule="atLeast"/>
              <w:ind w:left="0" w:right="0" w:firstLine="448"/>
            </w:pPr>
            <w:r>
              <w:rPr>
                <w:rFonts w:hint="eastAsia" w:ascii="微软雅黑" w:hAnsi="微软雅黑" w:eastAsia="微软雅黑" w:cs="微软雅黑"/>
                <w:b w:val="0"/>
                <w:i w:val="0"/>
                <w:caps w:val="0"/>
                <w:color w:val="000000"/>
                <w:spacing w:val="0"/>
                <w:sz w:val="21"/>
                <w:szCs w:val="21"/>
              </w:rPr>
              <w:t>12月，</w:t>
            </w:r>
            <w:r>
              <w:rPr>
                <w:rFonts w:hint="eastAsia" w:ascii="微软雅黑" w:hAnsi="微软雅黑" w:eastAsia="微软雅黑" w:cs="微软雅黑"/>
                <w:b/>
                <w:i w:val="0"/>
                <w:caps w:val="0"/>
                <w:color w:val="000000"/>
                <w:spacing w:val="0"/>
                <w:sz w:val="21"/>
                <w:szCs w:val="21"/>
              </w:rPr>
              <w:t>夷陵区首次成为“销冠片区”，甚至远超伍家区近400套</w:t>
            </w:r>
            <w:r>
              <w:rPr>
                <w:rFonts w:hint="eastAsia" w:ascii="微软雅黑" w:hAnsi="微软雅黑" w:eastAsia="微软雅黑" w:cs="微软雅黑"/>
                <w:b w:val="0"/>
                <w:i w:val="0"/>
                <w:caps w:val="0"/>
                <w:color w:val="000000"/>
                <w:spacing w:val="0"/>
                <w:sz w:val="21"/>
                <w:szCs w:val="21"/>
              </w:rPr>
              <w:t>，万达选址发展大道，各大品牌人驻郭家湾片区，宜昌北站拟建，这些利好信息无不推动了该片区年内的告诉发展！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24" w:lineRule="atLeast"/>
              <w:ind w:left="0" w:right="0" w:firstLine="0"/>
              <w:jc w:val="center"/>
            </w:pPr>
            <w:r>
              <w:rPr>
                <w:rFonts w:hint="eastAsia" w:ascii="宋体" w:hAnsi="宋体" w:eastAsia="宋体" w:cs="宋体"/>
                <w:caps w:val="0"/>
                <w:color w:val="333333"/>
                <w:spacing w:val="0"/>
                <w:sz w:val="24"/>
                <w:szCs w:val="24"/>
                <w:shd w:val="clear" w:fill="FFFFFF"/>
              </w:rPr>
              <w:drawing>
                <wp:inline distT="0" distB="0" distL="114300" distR="114300">
                  <wp:extent cx="6753225" cy="3381375"/>
                  <wp:effectExtent l="0" t="0" r="13335" b="1905"/>
                  <wp:docPr id="2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IMG_260"/>
                          <pic:cNvPicPr>
                            <a:picLocks noChangeAspect="1"/>
                          </pic:cNvPicPr>
                        </pic:nvPicPr>
                        <pic:blipFill>
                          <a:blip r:embed="rId8"/>
                          <a:stretch>
                            <a:fillRect/>
                          </a:stretch>
                        </pic:blipFill>
                        <pic:spPr>
                          <a:xfrm>
                            <a:off x="0" y="0"/>
                            <a:ext cx="6753225" cy="3381375"/>
                          </a:xfrm>
                          <a:prstGeom prst="rect">
                            <a:avLst/>
                          </a:prstGeom>
                          <a:noFill/>
                          <a:ln w="9525">
                            <a:noFill/>
                          </a:ln>
                        </pic:spPr>
                      </pic:pic>
                    </a:graphicData>
                  </a:graphic>
                </wp:inline>
              </w:drawing>
            </w:r>
            <w:r>
              <w:rPr>
                <w:rFonts w:hint="eastAsia" w:ascii="宋体" w:hAnsi="宋体" w:eastAsia="宋体" w:cs="宋体"/>
                <w:caps w:val="0"/>
                <w:color w:val="333333"/>
                <w:spacing w:val="0"/>
                <w:sz w:val="24"/>
                <w:szCs w:val="24"/>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216" w:lineRule="atLeast"/>
              <w:ind w:left="0" w:right="0" w:firstLine="448"/>
            </w:pPr>
            <w:r>
              <w:rPr>
                <w:rFonts w:hint="eastAsia" w:ascii="微软雅黑" w:hAnsi="微软雅黑" w:eastAsia="微软雅黑" w:cs="微软雅黑"/>
                <w:b w:val="0"/>
                <w:i w:val="0"/>
                <w:caps w:val="0"/>
                <w:color w:val="000000"/>
                <w:spacing w:val="0"/>
                <w:sz w:val="21"/>
                <w:szCs w:val="21"/>
              </w:rPr>
              <w:t>从月网签走势来看，宜昌新房市场持续回暖，自9月后，已连续3个月平稳上涨。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24" w:lineRule="atLeast"/>
              <w:ind w:left="0" w:right="0" w:firstLine="0"/>
              <w:jc w:val="center"/>
            </w:pPr>
            <w:r>
              <w:rPr>
                <w:rFonts w:ascii="Arial" w:hAnsi="Arial" w:eastAsia="宋体" w:cs="Arial"/>
                <w:caps w:val="0"/>
                <w:color w:val="333333"/>
                <w:spacing w:val="0"/>
                <w:sz w:val="24"/>
                <w:szCs w:val="24"/>
                <w:shd w:val="clear" w:fill="FFFFFF"/>
              </w:rPr>
              <w:t> </w:t>
            </w:r>
          </w:p>
          <w:p>
            <w:pPr>
              <w:pStyle w:val="2"/>
              <w:keepNext w:val="0"/>
              <w:keepLines w:val="0"/>
              <w:widowControl/>
              <w:suppressLineNumbers w:val="0"/>
              <w:shd w:val="clear" w:fill="FFFFFF"/>
              <w:spacing w:before="0" w:beforeAutospacing="1" w:after="420" w:afterAutospacing="0" w:line="400" w:lineRule="atLeast"/>
              <w:ind w:left="0" w:right="0"/>
              <w:jc w:val="left"/>
            </w:pPr>
            <w:r>
              <w:rPr>
                <w:rFonts w:hint="eastAsia" w:ascii="微软雅黑" w:hAnsi="微软雅黑" w:eastAsia="微软雅黑" w:cs="微软雅黑"/>
                <w:b/>
                <w:caps w:val="0"/>
                <w:spacing w:val="0"/>
                <w:sz w:val="24"/>
                <w:szCs w:val="24"/>
                <w:shd w:val="clear" w:fill="FFFFFF"/>
              </w:rPr>
              <w:t>二、全市在售项目销售排名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216" w:lineRule="atLeast"/>
              <w:ind w:left="0" w:right="0" w:firstLine="630"/>
            </w:pPr>
            <w:r>
              <w:rPr>
                <w:rFonts w:hint="eastAsia" w:ascii="微软雅黑" w:hAnsi="微软雅黑" w:eastAsia="微软雅黑" w:cs="微软雅黑"/>
                <w:b w:val="0"/>
                <w:i w:val="0"/>
                <w:caps w:val="0"/>
                <w:color w:val="000000"/>
                <w:spacing w:val="0"/>
                <w:sz w:val="21"/>
                <w:szCs w:val="21"/>
              </w:rPr>
              <w:t>12月网签量前10楼盘共计网签1177套，环比新增300余套，占比总量54%。其中伍家岗区3个楼盘，夷陵区3个楼盘，猇亭区2个楼盘，点军区和西陵区各1个楼盘。据统计，网签前十楼盘分别是：万科理想城、均瑶·御景天地、桐岭新村、恒大名都、领地·天屿、东都国际、宜昌碧桂园、宏信依山郡、融创宏泰·融公馆、银河·东湖雅居。</w:t>
            </w:r>
          </w:p>
          <w:tbl>
            <w:tblPr>
              <w:tblStyle w:val="3"/>
              <w:tblW w:w="9855" w:type="dxa"/>
              <w:tblInd w:w="83" w:type="dxa"/>
              <w:shd w:val="clear" w:color="auto" w:fill="auto"/>
              <w:tblLayout w:type="fixed"/>
              <w:tblCellMar>
                <w:top w:w="15" w:type="dxa"/>
                <w:left w:w="15" w:type="dxa"/>
                <w:bottom w:w="15" w:type="dxa"/>
                <w:right w:w="15" w:type="dxa"/>
              </w:tblCellMar>
            </w:tblPr>
            <w:tblGrid>
              <w:gridCol w:w="1155"/>
              <w:gridCol w:w="1426"/>
              <w:gridCol w:w="2415"/>
              <w:gridCol w:w="2640"/>
              <w:gridCol w:w="2219"/>
            </w:tblGrid>
            <w:tr>
              <w:tblPrEx>
                <w:shd w:val="clear" w:color="auto" w:fill="auto"/>
                <w:tblCellMar>
                  <w:top w:w="15" w:type="dxa"/>
                  <w:left w:w="15" w:type="dxa"/>
                  <w:bottom w:w="15" w:type="dxa"/>
                  <w:right w:w="15" w:type="dxa"/>
                </w:tblCellMar>
              </w:tblPrEx>
              <w:trPr>
                <w:trHeight w:val="286" w:hRule="atLeast"/>
              </w:trPr>
              <w:tc>
                <w:tcPr>
                  <w:tcW w:w="9855" w:type="dxa"/>
                  <w:gridSpan w:val="5"/>
                  <w:tcBorders>
                    <w:top w:val="single" w:color="000000" w:sz="8" w:space="0"/>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12月宜昌楼盘网签套数排行榜</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排行</w:t>
                  </w:r>
                </w:p>
              </w:tc>
              <w:tc>
                <w:tcPr>
                  <w:tcW w:w="142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区域</w:t>
                  </w:r>
                </w:p>
              </w:tc>
              <w:tc>
                <w:tcPr>
                  <w:tcW w:w="241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楼盘名称</w:t>
                  </w:r>
                </w:p>
              </w:tc>
              <w:tc>
                <w:tcPr>
                  <w:tcW w:w="264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成交套数（套）</w:t>
                  </w:r>
                </w:p>
              </w:tc>
              <w:tc>
                <w:tcPr>
                  <w:tcW w:w="221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成交面积（㎡）</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万科理想城</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406</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41860.6</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西陵区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均瑶·御景天地</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119</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11618.17</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桐领新村</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118</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15677.71</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恒大名都</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91</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9872.12</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伍家区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领地·天屿</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89</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9588.42</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猇亭区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东都国际</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81</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9096.51</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点军区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宜昌碧桂园</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76</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13792.81</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伍家区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依山郡</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67</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7375.82</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伍家区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融创宏泰·融公馆</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67</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7529.56</w:t>
                  </w:r>
                </w:p>
              </w:tc>
            </w:tr>
            <w:tr>
              <w:tblPrEx>
                <w:shd w:val="clear" w:color="auto" w:fill="auto"/>
                <w:tblCellMar>
                  <w:top w:w="15" w:type="dxa"/>
                  <w:left w:w="15" w:type="dxa"/>
                  <w:bottom w:w="15" w:type="dxa"/>
                  <w:right w:w="15" w:type="dxa"/>
                </w:tblCellMar>
              </w:tblPrEx>
              <w:trPr>
                <w:trHeight w:val="286" w:hRule="atLeast"/>
              </w:trPr>
              <w:tc>
                <w:tcPr>
                  <w:tcW w:w="11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14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24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银河·东湖雅居</w:t>
                  </w:r>
                </w:p>
              </w:tc>
              <w:tc>
                <w:tcPr>
                  <w:tcW w:w="26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63</w:t>
                  </w:r>
                </w:p>
              </w:tc>
              <w:tc>
                <w:tcPr>
                  <w:tcW w:w="22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6740.78</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216" w:lineRule="atLeast"/>
              <w:ind w:left="0" w:right="0" w:firstLine="448"/>
            </w:pPr>
            <w:r>
              <w:rPr>
                <w:rFonts w:hint="eastAsia" w:ascii="微软雅黑" w:hAnsi="微软雅黑" w:eastAsia="微软雅黑" w:cs="微软雅黑"/>
                <w:b w:val="0"/>
                <w:i w:val="0"/>
                <w:caps w:val="0"/>
                <w:color w:val="000000"/>
                <w:spacing w:val="0"/>
                <w:sz w:val="21"/>
                <w:szCs w:val="21"/>
              </w:rPr>
              <w:t>从热销楼盘的分布来看，夷陵、伍家仍是并列第一！两大热门片区均有3盘上榜，排名第一是来自夷陵区的“万科理想城”，单盘单月成交406套，几乎占比该区成交总量（923套）的一半！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216" w:lineRule="atLeast"/>
              <w:ind w:left="0" w:right="0" w:firstLine="448"/>
            </w:pPr>
            <w:r>
              <w:rPr>
                <w:rFonts w:hint="eastAsia" w:ascii="微软雅黑" w:hAnsi="微软雅黑" w:eastAsia="微软雅黑" w:cs="微软雅黑"/>
                <w:b w:val="0"/>
                <w:i w:val="0"/>
                <w:caps w:val="0"/>
                <w:color w:val="000000"/>
                <w:spacing w:val="0"/>
                <w:sz w:val="21"/>
                <w:szCs w:val="21"/>
              </w:rPr>
              <w:t>本月10个上榜项目中，夷陵区3盘均在平销期；伍家区1盘本月开盘加推，2盘平销期；猇亭区1盘本月开盘加推，1盘为安置项目。对比可见，夷陵区仍是实力派，无开盘动作仍保持较高的销量。</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第四部分   重点楼盘概况</w:t>
            </w:r>
          </w:p>
          <w:p>
            <w:pPr>
              <w:pStyle w:val="2"/>
              <w:keepNext w:val="0"/>
              <w:keepLines w:val="0"/>
              <w:widowControl/>
              <w:suppressLineNumbers w:val="0"/>
              <w:shd w:val="clear" w:fill="FFFFFF"/>
              <w:spacing w:before="0" w:beforeAutospacing="1" w:after="0" w:afterAutospacing="1" w:line="420" w:lineRule="atLeast"/>
              <w:ind w:left="0" w:right="0" w:firstLine="420"/>
              <w:jc w:val="both"/>
              <w:textAlignment w:val="top"/>
            </w:pPr>
            <w:r>
              <w:rPr>
                <w:rFonts w:hint="eastAsia" w:ascii="微软雅黑" w:hAnsi="微软雅黑" w:eastAsia="微软雅黑" w:cs="微软雅黑"/>
                <w:b/>
                <w:caps w:val="0"/>
                <w:spacing w:val="0"/>
                <w:sz w:val="24"/>
                <w:szCs w:val="24"/>
                <w:shd w:val="clear" w:fill="FFFFFF"/>
              </w:rPr>
              <w:t>一、12月开盘回顾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line="216" w:lineRule="atLeast"/>
              <w:ind w:left="0" w:right="0" w:firstLine="420"/>
            </w:pPr>
            <w:r>
              <w:rPr>
                <w:rFonts w:hint="eastAsia" w:ascii="微软雅黑" w:hAnsi="微软雅黑" w:eastAsia="微软雅黑" w:cs="微软雅黑"/>
                <w:b w:val="0"/>
                <w:i w:val="0"/>
                <w:caps w:val="0"/>
                <w:color w:val="222222"/>
                <w:spacing w:val="0"/>
                <w:sz w:val="21"/>
                <w:szCs w:val="21"/>
                <w:shd w:val="clear" w:fill="FFFFFF"/>
              </w:rPr>
              <w:t>12月的宜昌楼市持续发酵，保利·罗兰香谷、金科·集美阳光、弘洋·新都汇、东辰幸福里等纯新盘先后开盘，延续11月“周周有开盘”的热闹入市场景。同时，随着圣诞、元旦双节来临，优惠增多，楼盘推盘活动也趋于低调。</w:t>
            </w:r>
          </w:p>
          <w:tbl>
            <w:tblPr>
              <w:tblStyle w:val="3"/>
              <w:tblW w:w="9765" w:type="dxa"/>
              <w:tblInd w:w="125" w:type="dxa"/>
              <w:shd w:val="clear" w:color="auto" w:fill="auto"/>
              <w:tblLayout w:type="fixed"/>
              <w:tblCellMar>
                <w:top w:w="15" w:type="dxa"/>
                <w:left w:w="15" w:type="dxa"/>
                <w:bottom w:w="15" w:type="dxa"/>
                <w:right w:w="15" w:type="dxa"/>
              </w:tblCellMar>
            </w:tblPr>
            <w:tblGrid>
              <w:gridCol w:w="689"/>
              <w:gridCol w:w="1223"/>
              <w:gridCol w:w="1733"/>
              <w:gridCol w:w="1067"/>
              <w:gridCol w:w="1333"/>
              <w:gridCol w:w="1633"/>
              <w:gridCol w:w="2087"/>
            </w:tblGrid>
            <w:tr>
              <w:tblPrEx>
                <w:shd w:val="clear" w:color="auto" w:fill="auto"/>
              </w:tblPrEx>
              <w:trPr>
                <w:trHeight w:val="286" w:hRule="atLeast"/>
              </w:trPr>
              <w:tc>
                <w:tcPr>
                  <w:tcW w:w="9765" w:type="dxa"/>
                  <w:gridSpan w:val="7"/>
                  <w:tcBorders>
                    <w:top w:val="single" w:color="000000" w:sz="8" w:space="0"/>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2018年12月宜昌新房开盘/加推一览</w:t>
                  </w:r>
                </w:p>
              </w:tc>
            </w:tr>
            <w:tr>
              <w:tblPrEx>
                <w:shd w:val="clear" w:color="auto" w:fill="auto"/>
                <w:tblCellMar>
                  <w:top w:w="15" w:type="dxa"/>
                  <w:left w:w="15" w:type="dxa"/>
                  <w:bottom w:w="15" w:type="dxa"/>
                  <w:right w:w="15" w:type="dxa"/>
                </w:tblCellMar>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序号</w:t>
                  </w:r>
                </w:p>
              </w:tc>
              <w:tc>
                <w:tcPr>
                  <w:tcW w:w="12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时间</w:t>
                  </w:r>
                </w:p>
              </w:tc>
              <w:tc>
                <w:tcPr>
                  <w:tcW w:w="173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楼盘</w:t>
                  </w:r>
                </w:p>
              </w:tc>
              <w:tc>
                <w:tcPr>
                  <w:tcW w:w="106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区域</w:t>
                  </w:r>
                </w:p>
              </w:tc>
              <w:tc>
                <w:tcPr>
                  <w:tcW w:w="133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套数（套）</w:t>
                  </w:r>
                </w:p>
              </w:tc>
              <w:tc>
                <w:tcPr>
                  <w:tcW w:w="163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户型区间</w:t>
                  </w:r>
                </w:p>
              </w:tc>
              <w:tc>
                <w:tcPr>
                  <w:tcW w:w="208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均价（元/㎡）</w:t>
                  </w:r>
                </w:p>
              </w:tc>
            </w:tr>
            <w:tr>
              <w:tblPrEx>
                <w:shd w:val="clear" w:color="auto" w:fill="auto"/>
                <w:tblCellMar>
                  <w:top w:w="15" w:type="dxa"/>
                  <w:left w:w="15" w:type="dxa"/>
                  <w:bottom w:w="15" w:type="dxa"/>
                  <w:right w:w="15" w:type="dxa"/>
                </w:tblCellMar>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12.01</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保利罗兰香谷</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69</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105-125㎡</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7000</w:t>
                  </w:r>
                </w:p>
              </w:tc>
            </w:tr>
            <w:tr>
              <w:tblPrEx>
                <w:shd w:val="clear" w:color="auto" w:fill="auto"/>
                <w:tblCellMar>
                  <w:top w:w="15" w:type="dxa"/>
                  <w:left w:w="15" w:type="dxa"/>
                  <w:bottom w:w="15" w:type="dxa"/>
                  <w:right w:w="15" w:type="dxa"/>
                </w:tblCellMar>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12.12</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保利香槟国际</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117</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105-125㎡</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7500</w:t>
                  </w:r>
                </w:p>
              </w:tc>
            </w:tr>
            <w:tr>
              <w:tblPrEx>
                <w:shd w:val="clear" w:color="auto" w:fill="auto"/>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12.15</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弘洋·新都汇</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128</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102-124㎡</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8200</w:t>
                  </w:r>
                </w:p>
              </w:tc>
            </w:tr>
            <w:tr>
              <w:tblPrEx>
                <w:shd w:val="clear" w:color="auto" w:fill="auto"/>
                <w:tblCellMar>
                  <w:top w:w="15" w:type="dxa"/>
                  <w:left w:w="15" w:type="dxa"/>
                  <w:bottom w:w="15" w:type="dxa"/>
                  <w:right w:w="15" w:type="dxa"/>
                </w:tblCellMar>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12.22</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金科集美阳光</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84</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108/125㎡</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6890</w:t>
                  </w:r>
                </w:p>
              </w:tc>
            </w:tr>
            <w:tr>
              <w:tblPrEx>
                <w:shd w:val="clear" w:color="auto" w:fill="auto"/>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12.22</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保利罗兰香谷</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102-125㎡</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7000</w:t>
                  </w:r>
                </w:p>
              </w:tc>
            </w:tr>
            <w:tr>
              <w:tblPrEx>
                <w:shd w:val="clear" w:color="auto" w:fill="auto"/>
                <w:tblCellMar>
                  <w:top w:w="15" w:type="dxa"/>
                  <w:left w:w="15" w:type="dxa"/>
                  <w:bottom w:w="15" w:type="dxa"/>
                  <w:right w:w="15" w:type="dxa"/>
                </w:tblCellMar>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12.22</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领地·天屿</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伍家区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248</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86-128㎡</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8800</w:t>
                  </w:r>
                </w:p>
              </w:tc>
            </w:tr>
            <w:tr>
              <w:tblPrEx>
                <w:shd w:val="clear" w:color="auto" w:fill="auto"/>
                <w:tblCellMar>
                  <w:top w:w="15" w:type="dxa"/>
                  <w:left w:w="15" w:type="dxa"/>
                  <w:bottom w:w="15" w:type="dxa"/>
                  <w:right w:w="15" w:type="dxa"/>
                </w:tblCellMar>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12.25</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北大资源·颐和府</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开发区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48（洋房）</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153-187㎡</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11800</w:t>
                  </w:r>
                </w:p>
              </w:tc>
            </w:tr>
            <w:tr>
              <w:tblPrEx>
                <w:shd w:val="clear" w:color="auto" w:fill="auto"/>
                <w:tblCellMar>
                  <w:top w:w="15" w:type="dxa"/>
                  <w:left w:w="15" w:type="dxa"/>
                  <w:bottom w:w="15" w:type="dxa"/>
                  <w:right w:w="15" w:type="dxa"/>
                </w:tblCellMar>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12.26</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经发·金亚美御</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60</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63/79㎡</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6600</w:t>
                  </w:r>
                </w:p>
              </w:tc>
            </w:tr>
            <w:tr>
              <w:tblPrEx>
                <w:tblCellMar>
                  <w:top w:w="15" w:type="dxa"/>
                  <w:left w:w="15" w:type="dxa"/>
                  <w:bottom w:w="15" w:type="dxa"/>
                  <w:right w:w="15" w:type="dxa"/>
                </w:tblCellMar>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12.30</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东辰幸福里</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121</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100/124㎡</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6380</w:t>
                  </w:r>
                </w:p>
              </w:tc>
            </w:tr>
            <w:tr>
              <w:tblPrEx>
                <w:shd w:val="clear" w:color="auto" w:fill="auto"/>
                <w:tblCellMar>
                  <w:top w:w="15" w:type="dxa"/>
                  <w:left w:w="15" w:type="dxa"/>
                  <w:bottom w:w="15" w:type="dxa"/>
                  <w:right w:w="15" w:type="dxa"/>
                </w:tblCellMar>
              </w:tblPrEx>
              <w:trPr>
                <w:trHeight w:val="286" w:hRule="atLeast"/>
              </w:trPr>
              <w:tc>
                <w:tcPr>
                  <w:tcW w:w="6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12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12.31</w:t>
                  </w:r>
                </w:p>
              </w:tc>
              <w:tc>
                <w:tcPr>
                  <w:tcW w:w="17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万豪中心</w:t>
                  </w:r>
                </w:p>
              </w:tc>
              <w:tc>
                <w:tcPr>
                  <w:tcW w:w="10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伍家区</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408</w:t>
                  </w:r>
                </w:p>
              </w:tc>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110-150㎡</w:t>
                  </w:r>
                </w:p>
              </w:tc>
              <w:tc>
                <w:tcPr>
                  <w:tcW w:w="208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8700</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line="216" w:lineRule="atLeast"/>
              <w:ind w:left="0" w:right="0" w:firstLine="420"/>
            </w:pPr>
            <w:r>
              <w:rPr>
                <w:rFonts w:hint="eastAsia" w:ascii="微软雅黑" w:hAnsi="微软雅黑" w:eastAsia="微软雅黑" w:cs="微软雅黑"/>
                <w:b w:val="0"/>
                <w:i w:val="0"/>
                <w:caps w:val="0"/>
                <w:color w:val="222222"/>
                <w:spacing w:val="0"/>
                <w:sz w:val="21"/>
                <w:szCs w:val="21"/>
                <w:shd w:val="clear" w:fill="FFFFFF"/>
              </w:rPr>
              <w:t>12月宜昌城区共9个住宅项目开盘及加推10次，共计入市1395套房源。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line="216" w:lineRule="atLeast"/>
              <w:ind w:left="0" w:right="0" w:firstLine="420"/>
            </w:pPr>
            <w:r>
              <w:rPr>
                <w:rFonts w:hint="eastAsia" w:ascii="微软雅黑" w:hAnsi="微软雅黑" w:eastAsia="微软雅黑" w:cs="微软雅黑"/>
                <w:b/>
                <w:i w:val="0"/>
                <w:caps w:val="0"/>
                <w:color w:val="222222"/>
                <w:spacing w:val="0"/>
                <w:sz w:val="21"/>
                <w:szCs w:val="21"/>
                <w:shd w:val="clear" w:fill="FFFFFF"/>
              </w:rPr>
              <w:t>从开盘时间来看</w:t>
            </w:r>
            <w:r>
              <w:rPr>
                <w:rFonts w:hint="eastAsia" w:ascii="微软雅黑" w:hAnsi="微软雅黑" w:eastAsia="微软雅黑" w:cs="微软雅黑"/>
                <w:b w:val="0"/>
                <w:i w:val="0"/>
                <w:caps w:val="0"/>
                <w:color w:val="222222"/>
                <w:spacing w:val="0"/>
                <w:sz w:val="21"/>
                <w:szCs w:val="21"/>
                <w:shd w:val="clear" w:fill="FFFFFF"/>
              </w:rPr>
              <w:t>，12月1日-12月31日期间，连续6周时间（按周一到周日为一个完整周计算），几乎每周都有楼盘开盘；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line="216" w:lineRule="atLeast"/>
              <w:ind w:left="0" w:right="0" w:firstLine="420"/>
            </w:pPr>
            <w:r>
              <w:rPr>
                <w:rFonts w:hint="eastAsia" w:ascii="微软雅黑" w:hAnsi="微软雅黑" w:eastAsia="微软雅黑" w:cs="微软雅黑"/>
                <w:b/>
                <w:i w:val="0"/>
                <w:caps w:val="0"/>
                <w:color w:val="222222"/>
                <w:spacing w:val="0"/>
                <w:sz w:val="21"/>
                <w:szCs w:val="21"/>
                <w:shd w:val="clear" w:fill="FFFFFF"/>
              </w:rPr>
              <w:t>从开盘性质来看</w:t>
            </w:r>
            <w:r>
              <w:rPr>
                <w:rFonts w:hint="eastAsia" w:ascii="微软雅黑" w:hAnsi="微软雅黑" w:eastAsia="微软雅黑" w:cs="微软雅黑"/>
                <w:b w:val="0"/>
                <w:i w:val="0"/>
                <w:caps w:val="0"/>
                <w:color w:val="222222"/>
                <w:spacing w:val="0"/>
                <w:sz w:val="21"/>
                <w:szCs w:val="21"/>
                <w:shd w:val="clear" w:fill="FFFFFF"/>
              </w:rPr>
              <w:t>，</w:t>
            </w:r>
            <w:r>
              <w:rPr>
                <w:rFonts w:hint="eastAsia" w:ascii="微软雅黑" w:hAnsi="微软雅黑" w:eastAsia="微软雅黑" w:cs="微软雅黑"/>
                <w:b/>
                <w:i w:val="0"/>
                <w:caps w:val="0"/>
                <w:color w:val="222222"/>
                <w:spacing w:val="0"/>
                <w:sz w:val="21"/>
                <w:szCs w:val="21"/>
                <w:shd w:val="clear" w:fill="FFFFFF"/>
              </w:rPr>
              <w:t>5项目为纯新盘首开，3项目加推，1项目全新产品类型加推</w:t>
            </w:r>
            <w:r>
              <w:rPr>
                <w:rFonts w:hint="eastAsia" w:ascii="微软雅黑" w:hAnsi="微软雅黑" w:eastAsia="微软雅黑" w:cs="微软雅黑"/>
                <w:b w:val="0"/>
                <w:i w:val="0"/>
                <w:caps w:val="0"/>
                <w:color w:val="222222"/>
                <w:spacing w:val="0"/>
                <w:sz w:val="21"/>
                <w:szCs w:val="21"/>
                <w:shd w:val="clear" w:fill="FFFFFF"/>
              </w:rPr>
              <w:t>：保利·罗兰香谷、弘洋·新都汇、金科·集美阳光、经发·金亚美御、东辰幸福里5个项目为新盘首开，集中于东城片区发展大道沿线。金科·集美阳光首开给出了首付4.8万起的惊爆价，而东辰幸福里则开出了5980元/㎡的最低价，底线破六。保利·罗兰香谷首开后低调加推，同时加推的还有保利·香槟国际、领地·天屿、万豪中心。而北大资源·颐和府新推洋房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line="216" w:lineRule="atLeast"/>
              <w:ind w:left="0" w:right="0" w:firstLine="420"/>
            </w:pPr>
            <w:r>
              <w:rPr>
                <w:rFonts w:hint="eastAsia" w:ascii="微软雅黑" w:hAnsi="微软雅黑" w:eastAsia="微软雅黑" w:cs="微软雅黑"/>
                <w:b/>
                <w:i w:val="0"/>
                <w:caps w:val="0"/>
                <w:color w:val="222222"/>
                <w:spacing w:val="0"/>
                <w:sz w:val="21"/>
                <w:szCs w:val="21"/>
                <w:shd w:val="clear" w:fill="FFFFFF"/>
              </w:rPr>
              <w:t>从入市房源物业类别来看，</w:t>
            </w:r>
            <w:r>
              <w:rPr>
                <w:rFonts w:hint="eastAsia" w:ascii="微软雅黑" w:hAnsi="微软雅黑" w:eastAsia="微软雅黑" w:cs="微软雅黑"/>
                <w:b w:val="0"/>
                <w:i w:val="0"/>
                <w:caps w:val="0"/>
                <w:color w:val="222222"/>
                <w:spacing w:val="0"/>
                <w:sz w:val="21"/>
                <w:szCs w:val="21"/>
                <w:shd w:val="clear" w:fill="FFFFFF"/>
              </w:rPr>
              <w:t>仍然以高层房源最为普遍。</w:t>
            </w:r>
            <w:r>
              <w:rPr>
                <w:rFonts w:hint="eastAsia" w:ascii="微软雅黑" w:hAnsi="微软雅黑" w:eastAsia="微软雅黑" w:cs="微软雅黑"/>
                <w:b/>
                <w:i w:val="0"/>
                <w:caps w:val="0"/>
                <w:color w:val="222222"/>
                <w:spacing w:val="0"/>
                <w:sz w:val="21"/>
                <w:szCs w:val="21"/>
                <w:shd w:val="clear" w:fill="FFFFFF"/>
              </w:rPr>
              <w:t>从户型区间来看，1</w:t>
            </w:r>
            <w:r>
              <w:rPr>
                <w:rFonts w:hint="eastAsia" w:ascii="微软雅黑" w:hAnsi="微软雅黑" w:eastAsia="微软雅黑" w:cs="微软雅黑"/>
                <w:b w:val="0"/>
                <w:i w:val="0"/>
                <w:caps w:val="0"/>
                <w:color w:val="222222"/>
                <w:spacing w:val="0"/>
                <w:sz w:val="21"/>
                <w:szCs w:val="21"/>
                <w:shd w:val="clear" w:fill="FFFFFF"/>
              </w:rPr>
              <w:t>2月开盘及加推最小户型为经发·金亚美御，约63㎡两居室；最大的户型为北大资源·颐和府，约187㎡洋房户型。总体而言，三房、四房居多。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 w:lineRule="atLeast"/>
              <w:ind w:left="0" w:right="0"/>
              <w:jc w:val="left"/>
            </w:pPr>
            <w:r>
              <w:rPr>
                <w:rFonts w:hint="eastAsia" w:ascii="微软雅黑" w:hAnsi="微软雅黑" w:eastAsia="微软雅黑" w:cs="微软雅黑"/>
                <w:b/>
                <w:caps w:val="0"/>
                <w:spacing w:val="0"/>
                <w:sz w:val="24"/>
                <w:szCs w:val="24"/>
                <w:shd w:val="clear" w:fill="FFFFFF"/>
              </w:rPr>
              <w:t>二、夷陵区在售楼盘动态</w:t>
            </w:r>
          </w:p>
          <w:tbl>
            <w:tblPr>
              <w:tblStyle w:val="3"/>
              <w:tblW w:w="9884" w:type="dxa"/>
              <w:tblInd w:w="125" w:type="dxa"/>
              <w:shd w:val="clear" w:color="auto" w:fill="auto"/>
              <w:tblLayout w:type="fixed"/>
              <w:tblCellMar>
                <w:top w:w="15" w:type="dxa"/>
                <w:left w:w="15" w:type="dxa"/>
                <w:bottom w:w="15" w:type="dxa"/>
                <w:right w:w="15" w:type="dxa"/>
              </w:tblCellMar>
            </w:tblPr>
            <w:tblGrid>
              <w:gridCol w:w="460"/>
              <w:gridCol w:w="719"/>
              <w:gridCol w:w="1071"/>
              <w:gridCol w:w="1031"/>
              <w:gridCol w:w="1051"/>
              <w:gridCol w:w="901"/>
              <w:gridCol w:w="720"/>
              <w:gridCol w:w="941"/>
              <w:gridCol w:w="2990"/>
            </w:tblGrid>
            <w:tr>
              <w:tblPrEx>
                <w:shd w:val="clear" w:color="auto" w:fill="auto"/>
                <w:tblCellMar>
                  <w:top w:w="15" w:type="dxa"/>
                  <w:left w:w="15" w:type="dxa"/>
                  <w:bottom w:w="15" w:type="dxa"/>
                  <w:right w:w="15" w:type="dxa"/>
                </w:tblCellMar>
              </w:tblPrEx>
              <w:trPr>
                <w:trHeight w:val="286" w:hRule="atLeast"/>
              </w:trPr>
              <w:tc>
                <w:tcPr>
                  <w:tcW w:w="9884" w:type="dxa"/>
                  <w:gridSpan w:val="9"/>
                  <w:tcBorders>
                    <w:top w:val="single" w:color="000000" w:sz="8" w:space="0"/>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夷陵区楼盘概况</w:t>
                  </w:r>
                </w:p>
              </w:tc>
            </w:tr>
            <w:tr>
              <w:tblPrEx>
                <w:tblCellMar>
                  <w:top w:w="15" w:type="dxa"/>
                  <w:left w:w="15" w:type="dxa"/>
                  <w:bottom w:w="15" w:type="dxa"/>
                  <w:right w:w="15" w:type="dxa"/>
                </w:tblCellMar>
              </w:tblPrEx>
              <w:trPr>
                <w:trHeight w:val="450" w:hRule="atLeast"/>
              </w:trPr>
              <w:tc>
                <w:tcPr>
                  <w:tcW w:w="46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序号</w:t>
                  </w:r>
                </w:p>
              </w:tc>
              <w:tc>
                <w:tcPr>
                  <w:tcW w:w="719"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销售状态</w:t>
                  </w:r>
                </w:p>
              </w:tc>
              <w:tc>
                <w:tcPr>
                  <w:tcW w:w="1071"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名称</w:t>
                  </w:r>
                </w:p>
              </w:tc>
              <w:tc>
                <w:tcPr>
                  <w:tcW w:w="1031"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总建面（万方）</w:t>
                  </w:r>
                  <w:r>
                    <w:rPr>
                      <w:rFonts w:hint="eastAsia" w:ascii="微软雅黑" w:hAnsi="微软雅黑" w:eastAsia="微软雅黑" w:cs="微软雅黑"/>
                      <w:i w:val="0"/>
                      <w:color w:val="000000"/>
                      <w:kern w:val="0"/>
                      <w:sz w:val="18"/>
                      <w:szCs w:val="18"/>
                      <w:lang w:val="en-US" w:eastAsia="zh-CN" w:bidi="ar"/>
                    </w:rPr>
                    <w:t> </w:t>
                  </w:r>
                </w:p>
              </w:tc>
              <w:tc>
                <w:tcPr>
                  <w:tcW w:w="1051"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均价（元/㎡）</w:t>
                  </w:r>
                </w:p>
              </w:tc>
              <w:tc>
                <w:tcPr>
                  <w:tcW w:w="901"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未推出量（套）</w:t>
                  </w:r>
                </w:p>
              </w:tc>
              <w:tc>
                <w:tcPr>
                  <w:tcW w:w="7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春节前货量（套）</w:t>
                  </w:r>
                </w:p>
              </w:tc>
              <w:tc>
                <w:tcPr>
                  <w:tcW w:w="941"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装修情况</w:t>
                  </w:r>
                </w:p>
              </w:tc>
              <w:tc>
                <w:tcPr>
                  <w:tcW w:w="299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目前动态</w:t>
                  </w:r>
                </w:p>
              </w:tc>
            </w:tr>
            <w:tr>
              <w:tblPrEx>
                <w:tblCellMar>
                  <w:top w:w="15" w:type="dxa"/>
                  <w:left w:w="15" w:type="dxa"/>
                  <w:bottom w:w="15" w:type="dxa"/>
                  <w:right w:w="15" w:type="dxa"/>
                </w:tblCellMar>
              </w:tblPrEx>
              <w:trPr>
                <w:trHeight w:val="45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w:t>
                  </w:r>
                </w:p>
              </w:tc>
              <w:tc>
                <w:tcPr>
                  <w:tcW w:w="719"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在售</w:t>
                  </w: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恒大名都</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32.2</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7900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264</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580</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精装</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13#、17#、16#在售，</w:t>
                  </w:r>
                  <w:r>
                    <w:rPr>
                      <w:rFonts w:hint="eastAsia" w:ascii="宋体" w:hAnsi="宋体" w:eastAsia="宋体" w:cs="宋体"/>
                      <w:i w:val="0"/>
                      <w:color w:val="000000"/>
                      <w:kern w:val="0"/>
                      <w:sz w:val="18"/>
                      <w:szCs w:val="18"/>
                      <w:lang w:val="en-US" w:eastAsia="zh-CN" w:bidi="ar"/>
                    </w:rPr>
                    <w:br w:type="textWrapping"/>
                  </w:r>
                  <w:r>
                    <w:rPr>
                      <w:rFonts w:hint="eastAsia" w:ascii="宋体" w:hAnsi="宋体" w:eastAsia="宋体" w:cs="宋体"/>
                      <w:i w:val="0"/>
                      <w:color w:val="000000"/>
                      <w:kern w:val="0"/>
                      <w:sz w:val="18"/>
                      <w:szCs w:val="18"/>
                      <w:lang w:val="en-US" w:eastAsia="zh-CN" w:bidi="ar"/>
                    </w:rPr>
                    <w:t>全款分期，首期6万起，每周5套特惠房；到访即送礼</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万科理想城</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49</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7700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3550</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136</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精装</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31#、33#、29#剩余房源在售</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碧桂园城央壹品</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20.6</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8800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1079</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500</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精装</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7/8#楼在售，返乡置业5重礼</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保利罗兰香谷</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13.6</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7000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652</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62</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3#剩余在售</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保利香槟国际</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7250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602</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120</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6#剩余在售</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经发金亚5号</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6.4</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7000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300</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36</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7#剩余在售</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银河东湖雅居</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6930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1186</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304</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6/8/9#楼在售</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钓鱼台2号</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7000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0</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150</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2/23#楼、洋房19#楼在售</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清江润城4期</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7100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四期高层清盘中</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金科集美阳光</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6850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253</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48</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12月22日已开盘，4#楼在售</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东辰幸福里</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3.8</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6380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116</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57</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2#楼在售</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w:t>
                  </w:r>
                </w:p>
              </w:tc>
              <w:tc>
                <w:tcPr>
                  <w:tcW w:w="71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待推</w:t>
                  </w: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宏信玫瑰城3期</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40</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预计6500</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128</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9#楼即将开盘，客户登记中</w:t>
                  </w:r>
                </w:p>
              </w:tc>
            </w:tr>
            <w:tr>
              <w:tblPrEx>
                <w:tblCellMar>
                  <w:top w:w="15" w:type="dxa"/>
                  <w:left w:w="15" w:type="dxa"/>
                  <w:bottom w:w="15" w:type="dxa"/>
                  <w:right w:w="15" w:type="dxa"/>
                </w:tblCellMar>
              </w:tblPrEx>
              <w:trPr>
                <w:trHeight w:val="286"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13</w:t>
                  </w:r>
                </w:p>
              </w:tc>
              <w:tc>
                <w:tcPr>
                  <w:tcW w:w="719"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新盘</w:t>
                  </w: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联投银河公园</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21</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待定</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300</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毛坯</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VIP客户办理中，预计1月开盘，CBD展厅、水悦城外展点已开放</w:t>
                  </w:r>
                </w:p>
              </w:tc>
            </w:tr>
            <w:tr>
              <w:tblPrEx>
                <w:tblCellMar>
                  <w:top w:w="15" w:type="dxa"/>
                  <w:left w:w="15" w:type="dxa"/>
                  <w:bottom w:w="15" w:type="dxa"/>
                  <w:right w:w="15" w:type="dxa"/>
                </w:tblCellMar>
              </w:tblPrEx>
              <w:trPr>
                <w:trHeight w:val="301"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w:t>
                  </w:r>
                </w:p>
              </w:tc>
              <w:tc>
                <w:tcPr>
                  <w:tcW w:w="719"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0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碧桂园云庭</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27</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待定</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500</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精装</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对外展示中</w:t>
                  </w:r>
                </w:p>
              </w:tc>
            </w:tr>
            <w:tr>
              <w:tblPrEx>
                <w:tblCellMar>
                  <w:top w:w="15" w:type="dxa"/>
                  <w:left w:w="15" w:type="dxa"/>
                  <w:bottom w:w="15" w:type="dxa"/>
                  <w:right w:w="15" w:type="dxa"/>
                </w:tblCellMar>
              </w:tblPrEx>
              <w:trPr>
                <w:trHeight w:val="301" w:hRule="atLeast"/>
              </w:trPr>
              <w:tc>
                <w:tcPr>
                  <w:tcW w:w="2250" w:type="dxa"/>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color w:val="000000"/>
                      <w:kern w:val="0"/>
                      <w:sz w:val="18"/>
                      <w:szCs w:val="18"/>
                      <w:lang w:val="en-US" w:eastAsia="zh-CN" w:bidi="ar"/>
                    </w:rPr>
                    <w:t>小计</w:t>
                  </w:r>
                </w:p>
              </w:tc>
              <w:tc>
                <w:tcPr>
                  <w:tcW w:w="103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336.6</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olor w:val="000000"/>
                      <w:kern w:val="0"/>
                      <w:sz w:val="18"/>
                      <w:szCs w:val="18"/>
                      <w:lang w:val="en-US" w:eastAsia="zh-CN" w:bidi="ar"/>
                    </w:rPr>
                    <w:t> </w:t>
                  </w:r>
                </w:p>
              </w:tc>
              <w:tc>
                <w:tcPr>
                  <w:tcW w:w="90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8930</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2033</w:t>
                  </w:r>
                </w:p>
              </w:tc>
              <w:tc>
                <w:tcPr>
                  <w:tcW w:w="9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olor w:val="000000"/>
                      <w:kern w:val="0"/>
                      <w:sz w:val="18"/>
                      <w:szCs w:val="18"/>
                      <w:lang w:val="en-US" w:eastAsia="zh-CN" w:bidi="ar"/>
                    </w:rPr>
                    <w:t> </w:t>
                  </w:r>
                </w:p>
              </w:tc>
              <w:tc>
                <w:tcPr>
                  <w:tcW w:w="2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olor w:val="000000"/>
                      <w:kern w:val="0"/>
                      <w:sz w:val="18"/>
                      <w:szCs w:val="18"/>
                      <w:lang w:val="en-US" w:eastAsia="zh-CN" w:bidi="ar"/>
                    </w:rPr>
                    <w:t> </w:t>
                  </w:r>
                </w:p>
              </w:tc>
            </w:tr>
          </w:tbl>
          <w:p>
            <w:pPr>
              <w:pStyle w:val="2"/>
              <w:keepNext w:val="0"/>
              <w:keepLines w:val="0"/>
              <w:widowControl/>
              <w:suppressLineNumbers w:val="0"/>
              <w:shd w:val="clear" w:fill="FFFFFF"/>
              <w:spacing w:before="0" w:beforeAutospacing="1" w:after="420" w:afterAutospacing="0" w:line="24" w:lineRule="atLeast"/>
              <w:ind w:left="0" w:right="0"/>
              <w:jc w:val="left"/>
            </w:pPr>
            <w:r>
              <w:rPr>
                <w:rFonts w:hint="eastAsia" w:ascii="微软雅黑" w:hAnsi="微软雅黑" w:eastAsia="微软雅黑" w:cs="微软雅黑"/>
                <w:b/>
                <w:caps w:val="0"/>
                <w:spacing w:val="0"/>
                <w:sz w:val="24"/>
                <w:szCs w:val="24"/>
                <w:shd w:val="clear" w:fill="FFFFFF"/>
              </w:rPr>
              <w:t>三、重点楼盘</w:t>
            </w:r>
          </w:p>
          <w:p>
            <w:pPr>
              <w:pStyle w:val="2"/>
              <w:keepNext w:val="0"/>
              <w:keepLines w:val="0"/>
              <w:widowControl/>
              <w:suppressLineNumbers w:val="0"/>
              <w:shd w:val="clear" w:fill="FFFFFF"/>
              <w:spacing w:before="0" w:beforeAutospacing="1" w:after="420" w:afterAutospacing="0" w:line="400" w:lineRule="atLeast"/>
              <w:ind w:left="0" w:right="0"/>
              <w:jc w:val="left"/>
            </w:pPr>
            <w:r>
              <w:rPr>
                <w:rFonts w:hint="eastAsia" w:ascii="微软雅黑" w:hAnsi="微软雅黑" w:eastAsia="微软雅黑" w:cs="微软雅黑"/>
                <w:b/>
                <w:caps w:val="0"/>
                <w:spacing w:val="0"/>
                <w:sz w:val="24"/>
                <w:szCs w:val="24"/>
                <w:shd w:val="clear" w:fill="FFFFFF"/>
              </w:rPr>
              <w:t>（一）金科集美阳光</w:t>
            </w:r>
          </w:p>
          <w:p>
            <w:pPr>
              <w:pStyle w:val="2"/>
              <w:keepNext w:val="0"/>
              <w:keepLines w:val="0"/>
              <w:widowControl/>
              <w:suppressLineNumbers w:val="0"/>
              <w:shd w:val="clear" w:fill="FFFFFF"/>
              <w:spacing w:before="0" w:beforeAutospacing="1" w:after="0" w:afterAutospacing="1" w:line="400" w:lineRule="atLeast"/>
              <w:ind w:left="0" w:right="0"/>
              <w:jc w:val="left"/>
            </w:pPr>
            <w:r>
              <w:rPr>
                <w:rFonts w:hint="eastAsia" w:ascii="微软雅黑" w:hAnsi="微软雅黑" w:eastAsia="微软雅黑" w:cs="微软雅黑"/>
                <w:caps w:val="0"/>
                <w:spacing w:val="0"/>
                <w:sz w:val="21"/>
                <w:szCs w:val="21"/>
                <w:shd w:val="clear" w:fill="FFFFFF"/>
              </w:rPr>
              <w:t>1、基本信息：</w:t>
            </w:r>
          </w:p>
          <w:p>
            <w:pPr>
              <w:pStyle w:val="2"/>
              <w:keepNext w:val="0"/>
              <w:keepLines w:val="0"/>
              <w:widowControl/>
              <w:suppressLineNumbers w:val="0"/>
              <w:shd w:val="clear" w:fill="FFFFFF"/>
              <w:spacing w:before="0" w:beforeAutospacing="1" w:after="0" w:afterAutospacing="1" w:line="400" w:lineRule="atLeast"/>
              <w:ind w:left="0" w:right="0"/>
              <w:jc w:val="left"/>
            </w:pPr>
            <w:r>
              <w:rPr>
                <w:rFonts w:hint="eastAsia" w:ascii="微软雅黑" w:hAnsi="微软雅黑" w:eastAsia="微软雅黑" w:cs="微软雅黑"/>
                <w:caps w:val="0"/>
                <w:spacing w:val="0"/>
                <w:sz w:val="21"/>
                <w:szCs w:val="21"/>
                <w:shd w:val="clear" w:fill="FFFFFF"/>
              </w:rPr>
              <w:t> </w:t>
            </w:r>
          </w:p>
          <w:tbl>
            <w:tblPr>
              <w:tblStyle w:val="3"/>
              <w:tblW w:w="9920" w:type="dxa"/>
              <w:tblInd w:w="83" w:type="dxa"/>
              <w:shd w:val="clear" w:color="auto" w:fill="auto"/>
              <w:tblLayout w:type="fixed"/>
              <w:tblCellMar>
                <w:top w:w="15" w:type="dxa"/>
                <w:left w:w="15" w:type="dxa"/>
                <w:bottom w:w="15" w:type="dxa"/>
                <w:right w:w="15" w:type="dxa"/>
              </w:tblCellMar>
            </w:tblPr>
            <w:tblGrid>
              <w:gridCol w:w="1700"/>
              <w:gridCol w:w="2900"/>
              <w:gridCol w:w="2284"/>
              <w:gridCol w:w="3036"/>
            </w:tblGrid>
            <w:tr>
              <w:tblPrEx>
                <w:shd w:val="clear" w:color="auto" w:fill="auto"/>
                <w:tblCellMar>
                  <w:top w:w="15" w:type="dxa"/>
                  <w:left w:w="15" w:type="dxa"/>
                  <w:bottom w:w="15" w:type="dxa"/>
                  <w:right w:w="15" w:type="dxa"/>
                </w:tblCellMar>
              </w:tblPrEx>
              <w:trPr>
                <w:trHeight w:val="572" w:hRule="atLeast"/>
              </w:trPr>
              <w:tc>
                <w:tcPr>
                  <w:tcW w:w="1700" w:type="dxa"/>
                  <w:tcBorders>
                    <w:top w:val="single" w:color="000000" w:sz="8" w:space="0"/>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项目位置</w:t>
                  </w:r>
                </w:p>
              </w:tc>
              <w:tc>
                <w:tcPr>
                  <w:tcW w:w="29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发展大道与晨光路交汇处</w:t>
                  </w:r>
                </w:p>
              </w:tc>
              <w:tc>
                <w:tcPr>
                  <w:tcW w:w="2284"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建筑类型</w:t>
                  </w:r>
                </w:p>
              </w:tc>
              <w:tc>
                <w:tcPr>
                  <w:tcW w:w="303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4栋高层、1栋公寓、商业街</w:t>
                  </w:r>
                </w:p>
              </w:tc>
            </w:tr>
            <w:tr>
              <w:tblPrEx>
                <w:shd w:val="clear" w:color="auto" w:fill="auto"/>
                <w:tblCellMar>
                  <w:top w:w="15" w:type="dxa"/>
                  <w:left w:w="15" w:type="dxa"/>
                  <w:bottom w:w="15" w:type="dxa"/>
                  <w:right w:w="15" w:type="dxa"/>
                </w:tblCellMar>
              </w:tblPrEx>
              <w:trPr>
                <w:trHeight w:val="572" w:hRule="atLeast"/>
              </w:trPr>
              <w:tc>
                <w:tcPr>
                  <w:tcW w:w="170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开发商</w:t>
                  </w:r>
                </w:p>
              </w:tc>
              <w:tc>
                <w:tcPr>
                  <w:tcW w:w="29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宜昌众道房地产开发有限公司</w:t>
                  </w:r>
                </w:p>
              </w:tc>
              <w:tc>
                <w:tcPr>
                  <w:tcW w:w="228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交房时间</w:t>
                  </w:r>
                </w:p>
              </w:tc>
              <w:tc>
                <w:tcPr>
                  <w:tcW w:w="30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2020年10月</w:t>
                  </w:r>
                </w:p>
              </w:tc>
            </w:tr>
            <w:tr>
              <w:tblPrEx>
                <w:tblCellMar>
                  <w:top w:w="15" w:type="dxa"/>
                  <w:left w:w="15" w:type="dxa"/>
                  <w:bottom w:w="15" w:type="dxa"/>
                  <w:right w:w="15" w:type="dxa"/>
                </w:tblCellMar>
              </w:tblPrEx>
              <w:trPr>
                <w:trHeight w:val="333" w:hRule="atLeast"/>
              </w:trPr>
              <w:tc>
                <w:tcPr>
                  <w:tcW w:w="170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建筑面积/占地面积</w:t>
                  </w:r>
                </w:p>
              </w:tc>
              <w:tc>
                <w:tcPr>
                  <w:tcW w:w="29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8.49万方/2.6万方</w:t>
                  </w:r>
                </w:p>
              </w:tc>
              <w:tc>
                <w:tcPr>
                  <w:tcW w:w="228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楼栋总数/总户数</w:t>
                  </w:r>
                </w:p>
              </w:tc>
              <w:tc>
                <w:tcPr>
                  <w:tcW w:w="30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4栋/337户</w:t>
                  </w:r>
                </w:p>
              </w:tc>
            </w:tr>
            <w:tr>
              <w:tblPrEx>
                <w:shd w:val="clear" w:color="auto" w:fill="auto"/>
                <w:tblCellMar>
                  <w:top w:w="15" w:type="dxa"/>
                  <w:left w:w="15" w:type="dxa"/>
                  <w:bottom w:w="15" w:type="dxa"/>
                  <w:right w:w="15" w:type="dxa"/>
                </w:tblCellMar>
              </w:tblPrEx>
              <w:trPr>
                <w:trHeight w:val="333" w:hRule="atLeast"/>
              </w:trPr>
              <w:tc>
                <w:tcPr>
                  <w:tcW w:w="170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容积率/绿化率</w:t>
                  </w:r>
                </w:p>
              </w:tc>
              <w:tc>
                <w:tcPr>
                  <w:tcW w:w="29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2.4/31.6%</w:t>
                  </w:r>
                </w:p>
              </w:tc>
              <w:tc>
                <w:tcPr>
                  <w:tcW w:w="228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层高</w:t>
                  </w:r>
                </w:p>
              </w:tc>
              <w:tc>
                <w:tcPr>
                  <w:tcW w:w="30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不小于2.9米</w:t>
                  </w:r>
                </w:p>
              </w:tc>
            </w:tr>
            <w:tr>
              <w:tblPrEx>
                <w:shd w:val="clear" w:color="auto" w:fill="auto"/>
                <w:tblCellMar>
                  <w:top w:w="15" w:type="dxa"/>
                  <w:left w:w="15" w:type="dxa"/>
                  <w:bottom w:w="15" w:type="dxa"/>
                  <w:right w:w="15" w:type="dxa"/>
                </w:tblCellMar>
              </w:tblPrEx>
              <w:trPr>
                <w:trHeight w:val="333" w:hRule="atLeast"/>
              </w:trPr>
              <w:tc>
                <w:tcPr>
                  <w:tcW w:w="170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装修状况</w:t>
                  </w:r>
                </w:p>
              </w:tc>
              <w:tc>
                <w:tcPr>
                  <w:tcW w:w="29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毛坯</w:t>
                  </w:r>
                </w:p>
              </w:tc>
              <w:tc>
                <w:tcPr>
                  <w:tcW w:w="228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物管公司</w:t>
                  </w:r>
                </w:p>
              </w:tc>
              <w:tc>
                <w:tcPr>
                  <w:tcW w:w="30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金科物业</w:t>
                  </w:r>
                </w:p>
              </w:tc>
            </w:tr>
            <w:tr>
              <w:tblPrEx>
                <w:shd w:val="clear" w:color="auto" w:fill="auto"/>
                <w:tblCellMar>
                  <w:top w:w="15" w:type="dxa"/>
                  <w:left w:w="15" w:type="dxa"/>
                  <w:bottom w:w="15" w:type="dxa"/>
                  <w:right w:w="15" w:type="dxa"/>
                </w:tblCellMar>
              </w:tblPrEx>
              <w:trPr>
                <w:trHeight w:val="333" w:hRule="atLeast"/>
              </w:trPr>
              <w:tc>
                <w:tcPr>
                  <w:tcW w:w="170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主要户型</w:t>
                  </w:r>
                </w:p>
              </w:tc>
              <w:tc>
                <w:tcPr>
                  <w:tcW w:w="29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108、125㎡</w:t>
                  </w:r>
                </w:p>
              </w:tc>
              <w:tc>
                <w:tcPr>
                  <w:tcW w:w="228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物业费</w:t>
                  </w:r>
                </w:p>
              </w:tc>
              <w:tc>
                <w:tcPr>
                  <w:tcW w:w="30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1.7 </w:t>
                  </w:r>
                  <w:r>
                    <w:rPr>
                      <w:rFonts w:hint="eastAsia" w:ascii="微软雅黑" w:hAnsi="微软雅黑" w:eastAsia="微软雅黑" w:cs="微软雅黑"/>
                      <w:b/>
                      <w:i w:val="0"/>
                      <w:color w:val="000000"/>
                      <w:kern w:val="0"/>
                      <w:sz w:val="18"/>
                      <w:szCs w:val="18"/>
                      <w:lang w:val="en-US" w:eastAsia="zh-CN" w:bidi="ar"/>
                    </w:rPr>
                    <w:t>㎡/月</w:t>
                  </w:r>
                </w:p>
              </w:tc>
            </w:tr>
            <w:tr>
              <w:tblPrEx>
                <w:shd w:val="clear" w:color="auto" w:fill="auto"/>
                <w:tblCellMar>
                  <w:top w:w="15" w:type="dxa"/>
                  <w:left w:w="15" w:type="dxa"/>
                  <w:bottom w:w="15" w:type="dxa"/>
                  <w:right w:w="15" w:type="dxa"/>
                </w:tblCellMar>
              </w:tblPrEx>
              <w:trPr>
                <w:trHeight w:val="333" w:hRule="atLeast"/>
              </w:trPr>
              <w:tc>
                <w:tcPr>
                  <w:tcW w:w="170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价格</w:t>
                  </w:r>
                </w:p>
              </w:tc>
              <w:tc>
                <w:tcPr>
                  <w:tcW w:w="29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kern w:val="0"/>
                      <w:sz w:val="18"/>
                      <w:szCs w:val="18"/>
                      <w:lang w:val="en-US" w:eastAsia="zh-CN" w:bidi="ar"/>
                    </w:rPr>
                    <w:t>6890元 （毛坯）</w:t>
                  </w:r>
                </w:p>
              </w:tc>
              <w:tc>
                <w:tcPr>
                  <w:tcW w:w="228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销售动态</w:t>
                  </w:r>
                </w:p>
              </w:tc>
              <w:tc>
                <w:tcPr>
                  <w:tcW w:w="30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4#楼在售</w:t>
                  </w:r>
                </w:p>
              </w:tc>
            </w:tr>
            <w:tr>
              <w:tblPrEx>
                <w:shd w:val="clear" w:color="auto" w:fill="auto"/>
                <w:tblCellMar>
                  <w:top w:w="15" w:type="dxa"/>
                  <w:left w:w="15" w:type="dxa"/>
                  <w:bottom w:w="15" w:type="dxa"/>
                  <w:right w:w="15" w:type="dxa"/>
                </w:tblCellMar>
              </w:tblPrEx>
              <w:trPr>
                <w:trHeight w:val="684" w:hRule="atLeast"/>
              </w:trPr>
              <w:tc>
                <w:tcPr>
                  <w:tcW w:w="170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剩余待售货源量</w:t>
                  </w:r>
                </w:p>
              </w:tc>
              <w:tc>
                <w:tcPr>
                  <w:tcW w:w="29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301</w:t>
                  </w:r>
                </w:p>
              </w:tc>
              <w:tc>
                <w:tcPr>
                  <w:tcW w:w="228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折扣优惠</w:t>
                  </w:r>
                </w:p>
              </w:tc>
              <w:tc>
                <w:tcPr>
                  <w:tcW w:w="30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开盘时vip9.9折、认筹9.9折、准签9.9折，按揭或一次性再9.9折</w:t>
                  </w:r>
                </w:p>
              </w:tc>
            </w:tr>
          </w:tbl>
          <w:p>
            <w:pPr>
              <w:pStyle w:val="2"/>
              <w:keepNext w:val="0"/>
              <w:keepLines w:val="0"/>
              <w:widowControl/>
              <w:suppressLineNumbers w:val="0"/>
              <w:shd w:val="clear" w:fill="FFFFFF"/>
              <w:spacing w:before="0" w:beforeAutospacing="1" w:after="0" w:afterAutospacing="1" w:line="400" w:lineRule="atLeast"/>
              <w:ind w:left="0" w:right="0"/>
              <w:jc w:val="left"/>
            </w:pPr>
            <w:r>
              <w:rPr>
                <w:rFonts w:hint="eastAsia" w:ascii="微软雅黑" w:hAnsi="微软雅黑" w:eastAsia="微软雅黑" w:cs="微软雅黑"/>
                <w:caps w:val="0"/>
                <w:spacing w:val="0"/>
                <w:sz w:val="21"/>
                <w:szCs w:val="21"/>
                <w:shd w:val="clear" w:fill="FFFFFF"/>
              </w:rPr>
              <w:t> </w:t>
            </w:r>
          </w:p>
          <w:p>
            <w:pPr>
              <w:pStyle w:val="2"/>
              <w:keepNext w:val="0"/>
              <w:keepLines w:val="0"/>
              <w:widowControl/>
              <w:suppressLineNumbers w:val="0"/>
              <w:shd w:val="clear" w:fill="FFFFFF"/>
              <w:spacing w:before="0" w:beforeAutospacing="1" w:after="0" w:afterAutospacing="1" w:line="216" w:lineRule="atLeast"/>
              <w:ind w:left="0" w:right="0"/>
              <w:jc w:val="left"/>
            </w:pPr>
            <w:r>
              <w:rPr>
                <w:rFonts w:hint="eastAsia" w:ascii="微软雅黑" w:hAnsi="微软雅黑" w:eastAsia="微软雅黑" w:cs="微软雅黑"/>
                <w:caps w:val="0"/>
                <w:spacing w:val="0"/>
                <w:sz w:val="21"/>
                <w:szCs w:val="21"/>
                <w:shd w:val="clear" w:fill="FFFFFF"/>
              </w:rPr>
              <w:t>2、开盘情况回顾：</w:t>
            </w:r>
          </w:p>
          <w:p>
            <w:pPr>
              <w:keepNext w:val="0"/>
              <w:keepLines w:val="0"/>
              <w:widowControl/>
              <w:suppressLineNumbers w:val="0"/>
              <w:spacing w:before="0" w:beforeAutospacing="1" w:after="0" w:afterAutospacing="1" w:line="216" w:lineRule="atLeast"/>
              <w:ind w:left="420" w:right="0" w:hanging="420"/>
              <w:jc w:val="left"/>
            </w:pPr>
            <w:r>
              <w:rPr>
                <w:rFonts w:ascii="Wingdings" w:hAnsi="Wingdings" w:eastAsia="宋体" w:cs="Wingdings"/>
                <w:b w:val="0"/>
                <w:caps w:val="0"/>
                <w:spacing w:val="0"/>
                <w:kern w:val="0"/>
                <w:sz w:val="21"/>
                <w:szCs w:val="21"/>
                <w:lang w:val="en-US" w:eastAsia="zh-CN" w:bidi="ar"/>
              </w:rPr>
              <w:t>l</w:t>
            </w:r>
            <w:r>
              <w:rPr>
                <w:rFonts w:hint="default" w:ascii="Wingdings" w:hAnsi="Wingdings" w:eastAsia="宋体" w:cs="Wingdings"/>
                <w:b w:val="0"/>
                <w:caps w:val="0"/>
                <w:spacing w:val="0"/>
                <w:kern w:val="0"/>
                <w:sz w:val="21"/>
                <w:szCs w:val="21"/>
                <w:lang w:val="en-US" w:eastAsia="zh-CN" w:bidi="ar"/>
              </w:rPr>
              <w:t> </w:t>
            </w:r>
            <w:r>
              <w:rPr>
                <w:rFonts w:hint="eastAsia" w:ascii="微软雅黑" w:hAnsi="微软雅黑" w:eastAsia="微软雅黑" w:cs="微软雅黑"/>
                <w:b w:val="0"/>
                <w:caps w:val="0"/>
                <w:spacing w:val="0"/>
                <w:kern w:val="0"/>
                <w:sz w:val="21"/>
                <w:szCs w:val="21"/>
                <w:lang w:val="en-US" w:eastAsia="zh-CN" w:bidi="ar"/>
              </w:rPr>
              <w:t>首次开盘推出4#楼，21层，1个单元，两梯四户，可售房源84套，边户124.38㎡，中户107.62㎡，均为3房2厅2卫。</w:t>
            </w:r>
          </w:p>
          <w:p>
            <w:pPr>
              <w:keepNext w:val="0"/>
              <w:keepLines w:val="0"/>
              <w:widowControl/>
              <w:suppressLineNumbers w:val="0"/>
              <w:spacing w:before="0" w:beforeAutospacing="1" w:after="0" w:afterAutospacing="1" w:line="216" w:lineRule="atLeast"/>
              <w:ind w:left="420" w:right="0" w:hanging="420"/>
              <w:jc w:val="left"/>
            </w:pPr>
            <w:r>
              <w:rPr>
                <w:rFonts w:hint="default" w:ascii="Wingdings" w:hAnsi="Wingdings" w:eastAsia="宋体" w:cs="Wingdings"/>
                <w:b w:val="0"/>
                <w:caps w:val="0"/>
                <w:spacing w:val="0"/>
                <w:kern w:val="0"/>
                <w:sz w:val="21"/>
                <w:szCs w:val="21"/>
                <w:lang w:val="en-US" w:eastAsia="zh-CN" w:bidi="ar"/>
              </w:rPr>
              <w:t>l </w:t>
            </w:r>
            <w:r>
              <w:rPr>
                <w:rFonts w:hint="eastAsia" w:ascii="微软雅黑" w:hAnsi="微软雅黑" w:eastAsia="微软雅黑" w:cs="微软雅黑"/>
                <w:b w:val="0"/>
                <w:caps w:val="0"/>
                <w:spacing w:val="0"/>
                <w:kern w:val="0"/>
                <w:sz w:val="21"/>
                <w:szCs w:val="21"/>
                <w:lang w:val="en-US" w:eastAsia="zh-CN" w:bidi="ar"/>
              </w:rPr>
              <w:t>10月13日营销中心开放，同步办理VIP，11月10日样板间开放，12月9日举办产品发布会，12月18日正式启动认筹，VIP办理150组，认筹约65组，12月22日开盘，采取微信选房，</w:t>
            </w:r>
            <w:r>
              <w:rPr>
                <w:rFonts w:hint="eastAsia" w:ascii="微软雅黑" w:hAnsi="微软雅黑" w:eastAsia="微软雅黑" w:cs="微软雅黑"/>
                <w:b/>
                <w:caps w:val="0"/>
                <w:spacing w:val="0"/>
                <w:kern w:val="0"/>
                <w:sz w:val="21"/>
                <w:szCs w:val="21"/>
                <w:lang w:val="en-US" w:eastAsia="zh-CN" w:bidi="ar"/>
              </w:rPr>
              <w:t>当天认购约36套，去化率42.8%。</w:t>
            </w:r>
            <w:r>
              <w:rPr>
                <w:rFonts w:hint="eastAsia" w:ascii="微软雅黑" w:hAnsi="微软雅黑" w:eastAsia="微软雅黑" w:cs="微软雅黑"/>
                <w:caps w:val="0"/>
                <w:spacing w:val="0"/>
                <w:kern w:val="0"/>
                <w:sz w:val="21"/>
                <w:szCs w:val="21"/>
                <w:shd w:val="clear" w:fill="FFFFFF"/>
                <w:lang w:val="en-US" w:eastAsia="zh-CN" w:bidi="ar"/>
              </w:rPr>
              <w:t>   </w:t>
            </w:r>
            <w:r>
              <w:rPr>
                <w:rFonts w:hint="eastAsia" w:ascii="微软雅黑" w:hAnsi="微软雅黑" w:eastAsia="微软雅黑" w:cs="微软雅黑"/>
                <w:caps w:val="0"/>
                <w:spacing w:val="0"/>
                <w:kern w:val="0"/>
                <w:sz w:val="21"/>
                <w:szCs w:val="21"/>
                <w:shd w:val="clear" w:fill="FFFFFF"/>
                <w:lang w:val="en-US" w:eastAsia="zh-CN" w:bidi="ar"/>
              </w:rPr>
              <w:drawing>
                <wp:inline distT="0" distB="0" distL="114300" distR="114300">
                  <wp:extent cx="4981575" cy="4171950"/>
                  <wp:effectExtent l="0" t="0" r="1905" b="3810"/>
                  <wp:docPr id="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61"/>
                          <pic:cNvPicPr>
                            <a:picLocks noChangeAspect="1"/>
                          </pic:cNvPicPr>
                        </pic:nvPicPr>
                        <pic:blipFill>
                          <a:blip r:embed="rId9"/>
                          <a:stretch>
                            <a:fillRect/>
                          </a:stretch>
                        </pic:blipFill>
                        <pic:spPr>
                          <a:xfrm>
                            <a:off x="0" y="0"/>
                            <a:ext cx="4981575" cy="4171950"/>
                          </a:xfrm>
                          <a:prstGeom prst="rect">
                            <a:avLst/>
                          </a:prstGeom>
                          <a:noFill/>
                          <a:ln w="9525">
                            <a:noFill/>
                          </a:ln>
                        </pic:spPr>
                      </pic:pic>
                    </a:graphicData>
                  </a:graphic>
                </wp:inline>
              </w:drawing>
            </w:r>
            <w:r>
              <w:rPr>
                <w:rFonts w:hint="eastAsia" w:ascii="微软雅黑" w:hAnsi="微软雅黑" w:eastAsia="微软雅黑" w:cs="微软雅黑"/>
                <w:caps w:val="0"/>
                <w:spacing w:val="0"/>
                <w:kern w:val="0"/>
                <w:sz w:val="21"/>
                <w:szCs w:val="21"/>
                <w:shd w:val="clear" w:fill="FFFFFF"/>
                <w:lang w:val="en-US" w:eastAsia="zh-CN" w:bidi="ar"/>
              </w:rPr>
              <w:drawing>
                <wp:inline distT="0" distB="0" distL="114300" distR="114300">
                  <wp:extent cx="4638675" cy="3981450"/>
                  <wp:effectExtent l="0" t="0" r="9525" b="1143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4638675" cy="39814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420" w:right="0" w:hanging="420"/>
              <w:jc w:val="left"/>
            </w:pPr>
            <w:r>
              <w:rPr>
                <w:rFonts w:hint="default" w:ascii="Wingdings" w:hAnsi="Wingdings" w:eastAsia="宋体" w:cs="Wingdings"/>
                <w:b w:val="0"/>
                <w:caps w:val="0"/>
                <w:spacing w:val="0"/>
                <w:kern w:val="0"/>
                <w:sz w:val="21"/>
                <w:szCs w:val="21"/>
                <w:shd w:val="clear" w:fill="FFFFFF"/>
                <w:lang w:val="en-US" w:eastAsia="zh-CN" w:bidi="ar"/>
              </w:rPr>
              <w:t>l </w:t>
            </w:r>
            <w:r>
              <w:rPr>
                <w:rFonts w:hint="eastAsia" w:ascii="微软雅黑" w:hAnsi="微软雅黑" w:eastAsia="微软雅黑" w:cs="微软雅黑"/>
                <w:b w:val="0"/>
                <w:caps w:val="0"/>
                <w:spacing w:val="0"/>
                <w:kern w:val="0"/>
                <w:sz w:val="21"/>
                <w:szCs w:val="21"/>
                <w:shd w:val="clear" w:fill="FFFFFF"/>
                <w:lang w:val="en-US" w:eastAsia="zh-CN" w:bidi="ar"/>
              </w:rPr>
              <w:t>批复备案价7500元/㎡，微信系统表价7030元/㎡（微信显示表价已打vip及认筹2个9.9折），折后均价6890元/㎡。优惠：vip9.9折、认筹9.9折、准签9.9折，按揭或一次性再9.9折（申请首付分期不享受这个9.9折，首付分期半年内付清）</w:t>
            </w:r>
          </w:p>
          <w:p>
            <w:pPr>
              <w:keepNext w:val="0"/>
              <w:keepLines w:val="0"/>
              <w:widowControl/>
              <w:suppressLineNumbers w:val="0"/>
              <w:spacing w:before="0" w:beforeAutospacing="1" w:after="0" w:afterAutospacing="1" w:line="216" w:lineRule="atLeast"/>
              <w:ind w:left="0" w:right="0"/>
              <w:jc w:val="both"/>
            </w:pPr>
            <w:r>
              <w:rPr>
                <w:rFonts w:hint="eastAsia" w:ascii="微软雅黑" w:hAnsi="微软雅黑" w:eastAsia="微软雅黑" w:cs="微软雅黑"/>
                <w:b w:val="0"/>
                <w:caps w:val="0"/>
                <w:spacing w:val="0"/>
                <w:kern w:val="0"/>
                <w:sz w:val="24"/>
                <w:szCs w:val="24"/>
                <w:lang w:val="en-US" w:eastAsia="zh-CN" w:bidi="ar"/>
              </w:rPr>
              <w:t> </w:t>
            </w:r>
          </w:p>
          <w:p>
            <w:pPr>
              <w:pStyle w:val="2"/>
              <w:keepNext w:val="0"/>
              <w:keepLines w:val="0"/>
              <w:widowControl/>
              <w:suppressLineNumbers w:val="0"/>
              <w:shd w:val="clear" w:fill="FFFFFF"/>
              <w:spacing w:before="0" w:beforeAutospacing="1" w:after="420" w:afterAutospacing="0" w:line="400" w:lineRule="atLeast"/>
              <w:ind w:left="0" w:right="0"/>
              <w:jc w:val="left"/>
            </w:pPr>
            <w:r>
              <w:rPr>
                <w:rFonts w:hint="eastAsia" w:ascii="微软雅黑" w:hAnsi="微软雅黑" w:eastAsia="微软雅黑" w:cs="微软雅黑"/>
                <w:b/>
                <w:caps w:val="0"/>
                <w:spacing w:val="0"/>
                <w:sz w:val="24"/>
                <w:szCs w:val="24"/>
                <w:shd w:val="clear" w:fill="FFFFFF"/>
              </w:rPr>
              <w:t>（二）东辰幸福里</w:t>
            </w:r>
          </w:p>
          <w:p>
            <w:pPr>
              <w:pStyle w:val="2"/>
              <w:keepNext w:val="0"/>
              <w:keepLines w:val="0"/>
              <w:widowControl/>
              <w:suppressLineNumbers w:val="0"/>
              <w:shd w:val="clear" w:fill="FFFFFF"/>
              <w:spacing w:before="0" w:beforeAutospacing="1" w:after="0" w:afterAutospacing="1" w:line="400" w:lineRule="atLeast"/>
              <w:ind w:left="0" w:right="0"/>
              <w:jc w:val="left"/>
            </w:pPr>
            <w:r>
              <w:rPr>
                <w:rFonts w:hint="eastAsia" w:ascii="微软雅黑" w:hAnsi="微软雅黑" w:eastAsia="微软雅黑" w:cs="微软雅黑"/>
                <w:caps w:val="0"/>
                <w:spacing w:val="0"/>
                <w:sz w:val="21"/>
                <w:szCs w:val="21"/>
                <w:shd w:val="clear" w:fill="FFFFFF"/>
              </w:rPr>
              <w:t>1、基本信息：</w:t>
            </w:r>
          </w:p>
          <w:tbl>
            <w:tblPr>
              <w:tblStyle w:val="3"/>
              <w:tblW w:w="9740" w:type="dxa"/>
              <w:tblInd w:w="83" w:type="dxa"/>
              <w:shd w:val="clear" w:color="auto" w:fill="auto"/>
              <w:tblLayout w:type="fixed"/>
              <w:tblCellMar>
                <w:top w:w="15" w:type="dxa"/>
                <w:left w:w="15" w:type="dxa"/>
                <w:bottom w:w="15" w:type="dxa"/>
                <w:right w:w="15" w:type="dxa"/>
              </w:tblCellMar>
            </w:tblPr>
            <w:tblGrid>
              <w:gridCol w:w="1732"/>
              <w:gridCol w:w="2823"/>
              <w:gridCol w:w="1974"/>
              <w:gridCol w:w="3211"/>
            </w:tblGrid>
            <w:tr>
              <w:tblPrEx>
                <w:shd w:val="clear" w:color="auto" w:fill="auto"/>
              </w:tblPrEx>
              <w:trPr>
                <w:trHeight w:val="485" w:hRule="atLeast"/>
              </w:trPr>
              <w:tc>
                <w:tcPr>
                  <w:tcW w:w="1732" w:type="dxa"/>
                  <w:tcBorders>
                    <w:top w:val="single" w:color="000000" w:sz="8" w:space="0"/>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项目位置</w:t>
                  </w:r>
                </w:p>
              </w:tc>
              <w:tc>
                <w:tcPr>
                  <w:tcW w:w="28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发展大道（恒大绿洲对面）</w:t>
                  </w:r>
                </w:p>
              </w:tc>
              <w:tc>
                <w:tcPr>
                  <w:tcW w:w="1974"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建筑类型</w:t>
                  </w:r>
                </w:p>
              </w:tc>
              <w:tc>
                <w:tcPr>
                  <w:tcW w:w="321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高层、超高层</w:t>
                  </w:r>
                </w:p>
              </w:tc>
            </w:tr>
            <w:tr>
              <w:tblPrEx>
                <w:shd w:val="clear" w:color="auto" w:fill="auto"/>
                <w:tblCellMar>
                  <w:top w:w="15" w:type="dxa"/>
                  <w:left w:w="15" w:type="dxa"/>
                  <w:bottom w:w="15" w:type="dxa"/>
                  <w:right w:w="15" w:type="dxa"/>
                </w:tblCellMar>
              </w:tblPrEx>
              <w:trPr>
                <w:trHeight w:val="712" w:hRule="atLeast"/>
              </w:trPr>
              <w:tc>
                <w:tcPr>
                  <w:tcW w:w="1732"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开发商</w:t>
                  </w:r>
                </w:p>
              </w:tc>
              <w:tc>
                <w:tcPr>
                  <w:tcW w:w="28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宜昌梅岭置业有限责任公司</w:t>
                  </w:r>
                </w:p>
              </w:tc>
              <w:tc>
                <w:tcPr>
                  <w:tcW w:w="197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交房时间</w:t>
                  </w:r>
                </w:p>
              </w:tc>
              <w:tc>
                <w:tcPr>
                  <w:tcW w:w="32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2020年</w:t>
                  </w:r>
                </w:p>
              </w:tc>
            </w:tr>
            <w:tr>
              <w:tblPrEx>
                <w:shd w:val="clear" w:color="auto" w:fill="auto"/>
                <w:tblCellMar>
                  <w:top w:w="15" w:type="dxa"/>
                  <w:left w:w="15" w:type="dxa"/>
                  <w:bottom w:w="15" w:type="dxa"/>
                  <w:right w:w="15" w:type="dxa"/>
                </w:tblCellMar>
              </w:tblPrEx>
              <w:trPr>
                <w:trHeight w:val="485" w:hRule="atLeast"/>
              </w:trPr>
              <w:tc>
                <w:tcPr>
                  <w:tcW w:w="1732"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建筑面积/占地面积</w:t>
                  </w:r>
                </w:p>
              </w:tc>
              <w:tc>
                <w:tcPr>
                  <w:tcW w:w="28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3.79万方/0.91万方</w:t>
                  </w:r>
                </w:p>
              </w:tc>
              <w:tc>
                <w:tcPr>
                  <w:tcW w:w="197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楼栋总数/总户数</w:t>
                  </w:r>
                </w:p>
              </w:tc>
              <w:tc>
                <w:tcPr>
                  <w:tcW w:w="32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2栋/237户</w:t>
                  </w:r>
                </w:p>
              </w:tc>
            </w:tr>
            <w:tr>
              <w:tblPrEx>
                <w:shd w:val="clear" w:color="auto" w:fill="auto"/>
                <w:tblCellMar>
                  <w:top w:w="15" w:type="dxa"/>
                  <w:left w:w="15" w:type="dxa"/>
                  <w:bottom w:w="15" w:type="dxa"/>
                  <w:right w:w="15" w:type="dxa"/>
                </w:tblCellMar>
              </w:tblPrEx>
              <w:trPr>
                <w:trHeight w:val="280" w:hRule="atLeast"/>
              </w:trPr>
              <w:tc>
                <w:tcPr>
                  <w:tcW w:w="1732"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kern w:val="0"/>
                      <w:sz w:val="18"/>
                      <w:szCs w:val="18"/>
                      <w:lang w:val="en-US" w:eastAsia="zh-CN" w:bidi="ar"/>
                    </w:rPr>
                    <w:t>容积率</w:t>
                  </w:r>
                  <w:r>
                    <w:rPr>
                      <w:rFonts w:hint="eastAsia" w:ascii="微软雅黑" w:hAnsi="微软雅黑" w:eastAsia="微软雅黑" w:cs="微软雅黑"/>
                      <w:i w:val="0"/>
                      <w:kern w:val="0"/>
                      <w:sz w:val="18"/>
                      <w:szCs w:val="18"/>
                      <w:lang w:val="en-US" w:eastAsia="zh-CN" w:bidi="ar"/>
                    </w:rPr>
                    <w:t>/绿化率</w:t>
                  </w:r>
                </w:p>
              </w:tc>
              <w:tc>
                <w:tcPr>
                  <w:tcW w:w="28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kern w:val="0"/>
                      <w:sz w:val="18"/>
                      <w:szCs w:val="18"/>
                      <w:lang w:val="en-US" w:eastAsia="zh-CN" w:bidi="ar"/>
                    </w:rPr>
                    <w:t>3.49/20.5%</w:t>
                  </w:r>
                </w:p>
              </w:tc>
              <w:tc>
                <w:tcPr>
                  <w:tcW w:w="197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层高</w:t>
                  </w:r>
                </w:p>
              </w:tc>
              <w:tc>
                <w:tcPr>
                  <w:tcW w:w="32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r>
            <w:tr>
              <w:tblPrEx>
                <w:shd w:val="clear" w:color="auto" w:fill="auto"/>
                <w:tblCellMar>
                  <w:top w:w="15" w:type="dxa"/>
                  <w:left w:w="15" w:type="dxa"/>
                  <w:bottom w:w="15" w:type="dxa"/>
                  <w:right w:w="15" w:type="dxa"/>
                </w:tblCellMar>
              </w:tblPrEx>
              <w:trPr>
                <w:trHeight w:val="280" w:hRule="atLeast"/>
              </w:trPr>
              <w:tc>
                <w:tcPr>
                  <w:tcW w:w="1732"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kern w:val="0"/>
                      <w:sz w:val="18"/>
                      <w:szCs w:val="18"/>
                      <w:lang w:val="en-US" w:eastAsia="zh-CN" w:bidi="ar"/>
                    </w:rPr>
                    <w:t>装修状况</w:t>
                  </w:r>
                </w:p>
              </w:tc>
              <w:tc>
                <w:tcPr>
                  <w:tcW w:w="28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kern w:val="0"/>
                      <w:sz w:val="18"/>
                      <w:szCs w:val="18"/>
                      <w:lang w:val="en-US" w:eastAsia="zh-CN" w:bidi="ar"/>
                    </w:rPr>
                    <w:t>毛坯</w:t>
                  </w:r>
                </w:p>
              </w:tc>
              <w:tc>
                <w:tcPr>
                  <w:tcW w:w="197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物管公司</w:t>
                  </w:r>
                </w:p>
              </w:tc>
              <w:tc>
                <w:tcPr>
                  <w:tcW w:w="32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未定</w:t>
                  </w:r>
                </w:p>
              </w:tc>
            </w:tr>
            <w:tr>
              <w:tblPrEx>
                <w:shd w:val="clear" w:color="auto" w:fill="auto"/>
                <w:tblCellMar>
                  <w:top w:w="15" w:type="dxa"/>
                  <w:left w:w="15" w:type="dxa"/>
                  <w:bottom w:w="15" w:type="dxa"/>
                  <w:right w:w="15" w:type="dxa"/>
                </w:tblCellMar>
              </w:tblPrEx>
              <w:trPr>
                <w:trHeight w:val="441" w:hRule="atLeast"/>
              </w:trPr>
              <w:tc>
                <w:tcPr>
                  <w:tcW w:w="1732"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kern w:val="0"/>
                      <w:sz w:val="18"/>
                      <w:szCs w:val="18"/>
                      <w:lang w:val="en-US" w:eastAsia="zh-CN" w:bidi="ar"/>
                    </w:rPr>
                    <w:t>主要户型</w:t>
                  </w:r>
                </w:p>
              </w:tc>
              <w:tc>
                <w:tcPr>
                  <w:tcW w:w="28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kern w:val="0"/>
                      <w:sz w:val="18"/>
                      <w:szCs w:val="18"/>
                      <w:lang w:val="en-US" w:eastAsia="zh-CN" w:bidi="ar"/>
                    </w:rPr>
                    <w:t>99/123㎡</w:t>
                  </w:r>
                </w:p>
              </w:tc>
              <w:tc>
                <w:tcPr>
                  <w:tcW w:w="197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物业费</w:t>
                  </w:r>
                </w:p>
              </w:tc>
              <w:tc>
                <w:tcPr>
                  <w:tcW w:w="32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未定</w:t>
                  </w:r>
                </w:p>
              </w:tc>
            </w:tr>
            <w:tr>
              <w:tblPrEx>
                <w:shd w:val="clear" w:color="auto" w:fill="auto"/>
                <w:tblCellMar>
                  <w:top w:w="15" w:type="dxa"/>
                  <w:left w:w="15" w:type="dxa"/>
                  <w:bottom w:w="15" w:type="dxa"/>
                  <w:right w:w="15" w:type="dxa"/>
                </w:tblCellMar>
              </w:tblPrEx>
              <w:trPr>
                <w:trHeight w:val="280" w:hRule="atLeast"/>
              </w:trPr>
              <w:tc>
                <w:tcPr>
                  <w:tcW w:w="1732"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kern w:val="0"/>
                      <w:sz w:val="18"/>
                      <w:szCs w:val="18"/>
                      <w:lang w:val="en-US" w:eastAsia="zh-CN" w:bidi="ar"/>
                    </w:rPr>
                    <w:t>价格</w:t>
                  </w:r>
                </w:p>
              </w:tc>
              <w:tc>
                <w:tcPr>
                  <w:tcW w:w="28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kern w:val="0"/>
                      <w:sz w:val="18"/>
                      <w:szCs w:val="18"/>
                      <w:lang w:val="en-US" w:eastAsia="zh-CN" w:bidi="ar"/>
                    </w:rPr>
                    <w:t> 6380元/㎡</w:t>
                  </w:r>
                </w:p>
              </w:tc>
              <w:tc>
                <w:tcPr>
                  <w:tcW w:w="197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目前销售动态</w:t>
                  </w:r>
                </w:p>
              </w:tc>
              <w:tc>
                <w:tcPr>
                  <w:tcW w:w="32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2#楼在售</w:t>
                  </w:r>
                </w:p>
              </w:tc>
            </w:tr>
            <w:tr>
              <w:tblPrEx>
                <w:shd w:val="clear" w:color="auto" w:fill="auto"/>
                <w:tblCellMar>
                  <w:top w:w="15" w:type="dxa"/>
                  <w:left w:w="15" w:type="dxa"/>
                  <w:bottom w:w="15" w:type="dxa"/>
                  <w:right w:w="15" w:type="dxa"/>
                </w:tblCellMar>
              </w:tblPrEx>
              <w:trPr>
                <w:trHeight w:val="288" w:hRule="atLeast"/>
              </w:trPr>
              <w:tc>
                <w:tcPr>
                  <w:tcW w:w="1732"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待售货源</w:t>
                  </w:r>
                </w:p>
              </w:tc>
              <w:tc>
                <w:tcPr>
                  <w:tcW w:w="28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173套</w:t>
                  </w:r>
                </w:p>
              </w:tc>
              <w:tc>
                <w:tcPr>
                  <w:tcW w:w="1974"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折扣及优惠</w:t>
                  </w:r>
                </w:p>
              </w:tc>
              <w:tc>
                <w:tcPr>
                  <w:tcW w:w="32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暂无</w:t>
                  </w:r>
                </w:p>
              </w:tc>
            </w:tr>
          </w:tbl>
          <w:p>
            <w:pPr>
              <w:pStyle w:val="2"/>
              <w:keepNext w:val="0"/>
              <w:keepLines w:val="0"/>
              <w:widowControl/>
              <w:suppressLineNumbers w:val="0"/>
              <w:shd w:val="clear" w:fill="FFFFFF"/>
              <w:spacing w:before="0" w:beforeAutospacing="1" w:after="0" w:afterAutospacing="1" w:line="24" w:lineRule="atLeast"/>
              <w:ind w:left="0" w:right="0"/>
              <w:jc w:val="center"/>
            </w:pPr>
            <w:r>
              <w:rPr>
                <w:rFonts w:hint="eastAsia" w:ascii="微软雅黑" w:hAnsi="微软雅黑" w:eastAsia="微软雅黑" w:cs="微软雅黑"/>
                <w:caps w:val="0"/>
                <w:spacing w:val="0"/>
                <w:sz w:val="21"/>
                <w:szCs w:val="21"/>
                <w:shd w:val="clear" w:fill="FFFFFF"/>
              </w:rPr>
              <w:t> </w:t>
            </w:r>
          </w:p>
          <w:p>
            <w:pPr>
              <w:pStyle w:val="2"/>
              <w:keepNext w:val="0"/>
              <w:keepLines w:val="0"/>
              <w:widowControl/>
              <w:suppressLineNumbers w:val="0"/>
              <w:shd w:val="clear" w:fill="FFFFFF"/>
              <w:spacing w:before="0" w:beforeAutospacing="1" w:after="0" w:afterAutospacing="1" w:line="216" w:lineRule="atLeast"/>
              <w:ind w:left="0" w:right="0"/>
              <w:jc w:val="left"/>
            </w:pPr>
            <w:r>
              <w:rPr>
                <w:rFonts w:hint="eastAsia" w:ascii="微软雅黑" w:hAnsi="微软雅黑" w:eastAsia="微软雅黑" w:cs="微软雅黑"/>
                <w:caps w:val="0"/>
                <w:spacing w:val="0"/>
                <w:sz w:val="21"/>
                <w:szCs w:val="21"/>
                <w:shd w:val="clear" w:fill="FFFFFF"/>
              </w:rPr>
              <w:t>2、开盘情况回顾：</w:t>
            </w:r>
          </w:p>
          <w:p>
            <w:pPr>
              <w:pStyle w:val="2"/>
              <w:keepNext w:val="0"/>
              <w:keepLines w:val="0"/>
              <w:widowControl/>
              <w:suppressLineNumbers w:val="0"/>
              <w:shd w:val="clear" w:fill="FFFFFF"/>
              <w:spacing w:before="0" w:beforeAutospacing="1" w:after="0" w:afterAutospacing="1" w:line="216" w:lineRule="atLeast"/>
              <w:ind w:left="420" w:right="0" w:hanging="420"/>
              <w:jc w:val="left"/>
            </w:pPr>
            <w:r>
              <w:rPr>
                <w:rFonts w:hint="default" w:ascii="Wingdings" w:hAnsi="Wingdings" w:eastAsia="宋体" w:cs="Wingdings"/>
                <w:caps w:val="0"/>
                <w:spacing w:val="0"/>
                <w:sz w:val="21"/>
                <w:szCs w:val="21"/>
                <w:shd w:val="clear" w:fill="FFFFFF"/>
              </w:rPr>
              <w:t>l </w:t>
            </w:r>
            <w:r>
              <w:rPr>
                <w:rFonts w:hint="eastAsia" w:ascii="微软雅黑" w:hAnsi="微软雅黑" w:eastAsia="微软雅黑" w:cs="微软雅黑"/>
                <w:caps w:val="0"/>
                <w:spacing w:val="0"/>
                <w:sz w:val="21"/>
                <w:szCs w:val="21"/>
                <w:shd w:val="clear" w:fill="FFFFFF"/>
              </w:rPr>
              <w:t>首次开盘推出</w:t>
            </w:r>
            <w:r>
              <w:rPr>
                <w:rFonts w:hint="eastAsia" w:ascii="微软雅黑" w:hAnsi="微软雅黑" w:eastAsia="微软雅黑" w:cs="微软雅黑"/>
                <w:b/>
                <w:caps w:val="0"/>
                <w:spacing w:val="0"/>
                <w:sz w:val="21"/>
                <w:szCs w:val="21"/>
                <w:shd w:val="clear" w:fill="FFFFFF"/>
              </w:rPr>
              <w:t>2#楼，31层</w:t>
            </w:r>
            <w:r>
              <w:rPr>
                <w:rFonts w:hint="eastAsia" w:ascii="微软雅黑" w:hAnsi="微软雅黑" w:eastAsia="微软雅黑" w:cs="微软雅黑"/>
                <w:caps w:val="0"/>
                <w:spacing w:val="0"/>
                <w:sz w:val="21"/>
                <w:szCs w:val="21"/>
                <w:shd w:val="clear" w:fill="FFFFFF"/>
              </w:rPr>
              <w:t>，1个单元，两梯四户，面积段100.64（三房两厅两卫）、123.39㎡（三房两厅两卫），共计121套。</w:t>
            </w:r>
          </w:p>
          <w:p>
            <w:pPr>
              <w:pStyle w:val="2"/>
              <w:keepNext w:val="0"/>
              <w:keepLines w:val="0"/>
              <w:widowControl/>
              <w:suppressLineNumbers w:val="0"/>
              <w:shd w:val="clear" w:fill="FFFFFF"/>
              <w:spacing w:before="0" w:beforeAutospacing="1" w:after="0" w:afterAutospacing="1" w:line="216" w:lineRule="atLeast"/>
              <w:ind w:left="420" w:right="0" w:hanging="420"/>
              <w:jc w:val="left"/>
            </w:pPr>
            <w:r>
              <w:rPr>
                <w:rFonts w:hint="default" w:ascii="Wingdings" w:hAnsi="Wingdings" w:eastAsia="宋体" w:cs="Wingdings"/>
                <w:caps w:val="0"/>
                <w:spacing w:val="0"/>
                <w:sz w:val="21"/>
                <w:szCs w:val="21"/>
                <w:shd w:val="clear" w:fill="FFFFFF"/>
              </w:rPr>
              <w:t>l </w:t>
            </w:r>
            <w:r>
              <w:rPr>
                <w:rFonts w:hint="eastAsia" w:ascii="微软雅黑" w:hAnsi="微软雅黑" w:eastAsia="微软雅黑" w:cs="微软雅黑"/>
                <w:caps w:val="0"/>
                <w:spacing w:val="0"/>
                <w:sz w:val="21"/>
                <w:szCs w:val="21"/>
                <w:shd w:val="clear" w:fill="FFFFFF"/>
              </w:rPr>
              <w:t>项目8月16日营销中心开放，11月16日启动VIP申领。12.30日首开，开盘形式：先到先选，依次选房。开盘前一天提前告知客户可提前选房，不能到场客户，今天选房保留优惠，开盘合计认购约64套，去化率52.8%。</w:t>
            </w:r>
            <w:r>
              <w:rPr>
                <w:rFonts w:hint="eastAsia" w:ascii="微软雅黑" w:hAnsi="微软雅黑" w:eastAsia="微软雅黑" w:cs="微软雅黑"/>
                <w:b/>
                <w:caps w:val="0"/>
                <w:spacing w:val="0"/>
                <w:sz w:val="21"/>
                <w:szCs w:val="21"/>
                <w:shd w:val="clear" w:fill="FFFFFF"/>
              </w:rPr>
              <w:t>  </w:t>
            </w:r>
            <w:r>
              <w:rPr>
                <w:rFonts w:hint="eastAsia" w:ascii="微软雅黑" w:hAnsi="微软雅黑" w:eastAsia="微软雅黑" w:cs="微软雅黑"/>
                <w:b/>
                <w:caps w:val="0"/>
                <w:spacing w:val="0"/>
                <w:sz w:val="21"/>
                <w:szCs w:val="21"/>
                <w:shd w:val="clear" w:fill="FFFFFF"/>
              </w:rPr>
              <w:drawing>
                <wp:inline distT="0" distB="0" distL="114300" distR="114300">
                  <wp:extent cx="4467225" cy="3819525"/>
                  <wp:effectExtent l="0" t="0" r="13335" b="5715"/>
                  <wp:docPr id="3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63"/>
                          <pic:cNvPicPr>
                            <a:picLocks noChangeAspect="1"/>
                          </pic:cNvPicPr>
                        </pic:nvPicPr>
                        <pic:blipFill>
                          <a:blip r:embed="rId11"/>
                          <a:stretch>
                            <a:fillRect/>
                          </a:stretch>
                        </pic:blipFill>
                        <pic:spPr>
                          <a:xfrm>
                            <a:off x="0" y="0"/>
                            <a:ext cx="4467225" cy="3819525"/>
                          </a:xfrm>
                          <a:prstGeom prst="rect">
                            <a:avLst/>
                          </a:prstGeom>
                          <a:noFill/>
                          <a:ln w="9525">
                            <a:noFill/>
                          </a:ln>
                        </pic:spPr>
                      </pic:pic>
                    </a:graphicData>
                  </a:graphic>
                </wp:inline>
              </w:drawing>
            </w:r>
            <w:r>
              <w:rPr>
                <w:rFonts w:hint="eastAsia" w:ascii="微软雅黑" w:hAnsi="微软雅黑" w:eastAsia="微软雅黑" w:cs="微软雅黑"/>
                <w:b/>
                <w:caps w:val="0"/>
                <w:spacing w:val="0"/>
                <w:sz w:val="21"/>
                <w:szCs w:val="21"/>
                <w:shd w:val="clear" w:fill="FFFFFF"/>
              </w:rPr>
              <w:drawing>
                <wp:inline distT="0" distB="0" distL="114300" distR="114300">
                  <wp:extent cx="4714875" cy="3733800"/>
                  <wp:effectExtent l="0" t="0" r="9525" b="0"/>
                  <wp:docPr id="2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IMG_264"/>
                          <pic:cNvPicPr>
                            <a:picLocks noChangeAspect="1"/>
                          </pic:cNvPicPr>
                        </pic:nvPicPr>
                        <pic:blipFill>
                          <a:blip r:embed="rId12"/>
                          <a:stretch>
                            <a:fillRect/>
                          </a:stretch>
                        </pic:blipFill>
                        <pic:spPr>
                          <a:xfrm>
                            <a:off x="0" y="0"/>
                            <a:ext cx="4714875" cy="3733800"/>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1" w:after="0" w:afterAutospacing="1" w:line="216" w:lineRule="atLeast"/>
              <w:ind w:left="420" w:right="0" w:hanging="420"/>
              <w:jc w:val="left"/>
            </w:pPr>
            <w:r>
              <w:rPr>
                <w:rFonts w:hint="default" w:ascii="Wingdings" w:hAnsi="Wingdings" w:eastAsia="宋体" w:cs="Wingdings"/>
                <w:b w:val="0"/>
                <w:caps w:val="0"/>
                <w:spacing w:val="0"/>
                <w:sz w:val="21"/>
                <w:szCs w:val="21"/>
                <w:shd w:val="clear" w:fill="FFFFFF"/>
              </w:rPr>
              <w:t>l </w:t>
            </w:r>
            <w:r>
              <w:rPr>
                <w:rFonts w:hint="eastAsia" w:ascii="微软雅黑" w:hAnsi="微软雅黑" w:eastAsia="微软雅黑" w:cs="微软雅黑"/>
                <w:b w:val="0"/>
                <w:caps w:val="0"/>
                <w:spacing w:val="0"/>
                <w:sz w:val="21"/>
                <w:szCs w:val="21"/>
                <w:shd w:val="clear" w:fill="FFFFFF"/>
              </w:rPr>
              <w:t> 价格折后均价6380元/㎡。边＞中  30元/㎡；层差0-20元，部分楼层有40/80元跳价；18-20F价格最高；优惠：认购减2万，开盘额外9.9折。现场根据认购情况，现场贴定部分假销控，并通过释放开盘次日无9.9折优惠逼定客户</w:t>
            </w:r>
          </w:p>
          <w:p>
            <w:pPr>
              <w:pStyle w:val="2"/>
              <w:keepNext w:val="0"/>
              <w:keepLines w:val="0"/>
              <w:widowControl/>
              <w:suppressLineNumbers w:val="0"/>
              <w:shd w:val="clear" w:fill="FFFFFF"/>
              <w:spacing w:before="0" w:beforeAutospacing="1" w:after="0" w:afterAutospacing="1" w:line="24" w:lineRule="atLeast"/>
              <w:ind w:left="0" w:right="0"/>
              <w:jc w:val="center"/>
            </w:pPr>
            <w:r>
              <w:rPr>
                <w:rFonts w:hint="eastAsia" w:ascii="宋体" w:hAnsi="宋体" w:eastAsia="宋体" w:cs="宋体"/>
                <w:caps w:val="0"/>
                <w:spacing w:val="0"/>
                <w:sz w:val="24"/>
                <w:szCs w:val="24"/>
                <w:shd w:val="clear" w:fill="FFFFFF"/>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第五部分   媒体监测</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一、搜房网</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本月在搜房网投放广告的主要有联投·银河公园、恒大名都、恒大华府、融创宏泰融园、保利·罗兰香谷、保利香槟国际、钓鱼台、均瑶·御景天地、宜昌中心、万豪中心。</w:t>
            </w:r>
          </w:p>
          <w:p>
            <w:pPr>
              <w:keepNext w:val="0"/>
              <w:keepLines w:val="0"/>
              <w:widowControl/>
              <w:suppressLineNumbers w:val="0"/>
              <w:spacing w:before="0" w:beforeAutospacing="1" w:after="0" w:afterAutospacing="1" w:line="216" w:lineRule="atLeast"/>
              <w:ind w:left="0" w:right="0" w:firstLine="420"/>
              <w:jc w:val="center"/>
            </w:pPr>
            <w:r>
              <w:rPr>
                <w:rFonts w:ascii="Calibri" w:hAnsi="Calibri" w:eastAsia="宋体" w:cs="Calibri"/>
                <w:caps w:val="0"/>
                <w:spacing w:val="0"/>
                <w:kern w:val="0"/>
                <w:sz w:val="21"/>
                <w:szCs w:val="21"/>
                <w:lang w:val="en-US" w:eastAsia="zh-CN" w:bidi="ar"/>
              </w:rPr>
              <w:drawing>
                <wp:inline distT="0" distB="0" distL="114300" distR="114300">
                  <wp:extent cx="11715750" cy="4133850"/>
                  <wp:effectExtent l="0" t="0" r="3810" b="11430"/>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11715750" cy="41338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firstLine="420"/>
              <w:jc w:val="center"/>
            </w:pPr>
            <w:r>
              <w:rPr>
                <w:rFonts w:hint="default" w:ascii="Calibri" w:hAnsi="Calibri" w:eastAsia="宋体" w:cs="Calibri"/>
                <w:caps w:val="0"/>
                <w:spacing w:val="0"/>
                <w:kern w:val="0"/>
                <w:sz w:val="21"/>
                <w:szCs w:val="21"/>
                <w:lang w:val="en-US" w:eastAsia="zh-CN" w:bidi="ar"/>
              </w:rPr>
              <w:drawing>
                <wp:inline distT="0" distB="0" distL="114300" distR="114300">
                  <wp:extent cx="12058650" cy="4171950"/>
                  <wp:effectExtent l="0" t="0" r="11430" b="381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12058650" cy="4171950"/>
                          </a:xfrm>
                          <a:prstGeom prst="rect">
                            <a:avLst/>
                          </a:prstGeom>
                          <a:noFill/>
                          <a:ln w="9525">
                            <a:noFill/>
                          </a:ln>
                        </pic:spPr>
                      </pic:pic>
                    </a:graphicData>
                  </a:graphic>
                </wp:inline>
              </w:drawing>
            </w:r>
            <w:r>
              <w:rPr>
                <w:rFonts w:hint="default" w:ascii="Calibri" w:hAnsi="Calibri" w:eastAsia="宋体" w:cs="Calibri"/>
                <w:caps w:val="0"/>
                <w:spacing w:val="0"/>
                <w:kern w:val="0"/>
                <w:sz w:val="21"/>
                <w:szCs w:val="21"/>
                <w:lang w:val="en-US" w:eastAsia="zh-CN" w:bidi="ar"/>
              </w:rPr>
              <w:t> </w:t>
            </w:r>
          </w:p>
          <w:p>
            <w:pPr>
              <w:keepNext w:val="0"/>
              <w:keepLines w:val="0"/>
              <w:widowControl/>
              <w:suppressLineNumbers w:val="0"/>
              <w:spacing w:before="0" w:beforeAutospacing="1" w:after="0" w:afterAutospacing="1" w:line="216" w:lineRule="atLeast"/>
              <w:ind w:left="0" w:right="0" w:firstLine="420"/>
              <w:jc w:val="center"/>
            </w:pPr>
            <w:r>
              <w:rPr>
                <w:rFonts w:hint="default" w:ascii="Calibri" w:hAnsi="Calibri" w:eastAsia="宋体" w:cs="Calibri"/>
                <w:caps w:val="0"/>
                <w:spacing w:val="0"/>
                <w:kern w:val="0"/>
                <w:sz w:val="21"/>
                <w:szCs w:val="21"/>
                <w:lang w:val="en-US" w:eastAsia="zh-CN" w:bidi="ar"/>
              </w:rPr>
              <w:drawing>
                <wp:inline distT="0" distB="0" distL="114300" distR="114300">
                  <wp:extent cx="10944225" cy="1819275"/>
                  <wp:effectExtent l="0" t="0" r="13335" b="9525"/>
                  <wp:docPr id="1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7"/>
                          <pic:cNvPicPr>
                            <a:picLocks noChangeAspect="1"/>
                          </pic:cNvPicPr>
                        </pic:nvPicPr>
                        <pic:blipFill>
                          <a:blip r:embed="rId15"/>
                          <a:stretch>
                            <a:fillRect/>
                          </a:stretch>
                        </pic:blipFill>
                        <pic:spPr>
                          <a:xfrm>
                            <a:off x="0" y="0"/>
                            <a:ext cx="10944225" cy="18192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firstLine="420"/>
              <w:jc w:val="center"/>
            </w:pPr>
            <w:r>
              <w:rPr>
                <w:rFonts w:hint="default" w:ascii="Calibri" w:hAnsi="Calibri" w:eastAsia="宋体" w:cs="Calibri"/>
                <w:caps w:val="0"/>
                <w:spacing w:val="0"/>
                <w:kern w:val="0"/>
                <w:sz w:val="21"/>
                <w:szCs w:val="21"/>
                <w:lang w:val="en-US" w:eastAsia="zh-CN" w:bidi="ar"/>
              </w:rPr>
              <w:t> </w:t>
            </w:r>
            <w:r>
              <w:rPr>
                <w:rFonts w:hint="default" w:ascii="Calibri" w:hAnsi="Calibri" w:eastAsia="宋体" w:cs="Calibri"/>
                <w:caps w:val="0"/>
                <w:spacing w:val="0"/>
                <w:kern w:val="0"/>
                <w:sz w:val="21"/>
                <w:szCs w:val="21"/>
                <w:lang w:val="en-US" w:eastAsia="zh-CN" w:bidi="ar"/>
              </w:rPr>
              <w:drawing>
                <wp:inline distT="0" distB="0" distL="114300" distR="114300">
                  <wp:extent cx="10934700" cy="1752600"/>
                  <wp:effectExtent l="0" t="0" r="7620" b="0"/>
                  <wp:docPr id="2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68"/>
                          <pic:cNvPicPr>
                            <a:picLocks noChangeAspect="1"/>
                          </pic:cNvPicPr>
                        </pic:nvPicPr>
                        <pic:blipFill>
                          <a:blip r:embed="rId16"/>
                          <a:stretch>
                            <a:fillRect/>
                          </a:stretch>
                        </pic:blipFill>
                        <pic:spPr>
                          <a:xfrm>
                            <a:off x="0" y="0"/>
                            <a:ext cx="10934700" cy="1752600"/>
                          </a:xfrm>
                          <a:prstGeom prst="rect">
                            <a:avLst/>
                          </a:prstGeom>
                          <a:noFill/>
                          <a:ln w="9525">
                            <a:noFill/>
                          </a:ln>
                        </pic:spPr>
                      </pic:pic>
                    </a:graphicData>
                  </a:graphic>
                </wp:inline>
              </w:drawing>
            </w:r>
            <w:r>
              <w:rPr>
                <w:rFonts w:hint="default" w:ascii="Calibri" w:hAnsi="Calibri" w:eastAsia="宋体" w:cs="Calibri"/>
                <w:caps w:val="0"/>
                <w:spacing w:val="0"/>
                <w:kern w:val="0"/>
                <w:sz w:val="21"/>
                <w:szCs w:val="21"/>
                <w:lang w:val="en-US" w:eastAsia="zh-CN" w:bidi="ar"/>
              </w:rPr>
              <w:t> </w:t>
            </w:r>
          </w:p>
          <w:p>
            <w:pPr>
              <w:keepNext w:val="0"/>
              <w:keepLines w:val="0"/>
              <w:widowControl/>
              <w:suppressLineNumbers w:val="0"/>
              <w:spacing w:before="0" w:beforeAutospacing="1" w:after="0" w:afterAutospacing="1" w:line="216" w:lineRule="atLeast"/>
              <w:ind w:left="0" w:right="0" w:firstLine="420"/>
              <w:jc w:val="center"/>
            </w:pPr>
            <w:r>
              <w:rPr>
                <w:rFonts w:hint="default" w:ascii="Calibri" w:hAnsi="Calibri" w:eastAsia="宋体" w:cs="Calibri"/>
                <w:caps w:val="0"/>
                <w:spacing w:val="0"/>
                <w:kern w:val="0"/>
                <w:sz w:val="21"/>
                <w:szCs w:val="21"/>
                <w:lang w:val="en-US" w:eastAsia="zh-CN" w:bidi="ar"/>
              </w:rPr>
              <w:drawing>
                <wp:inline distT="0" distB="0" distL="114300" distR="114300">
                  <wp:extent cx="10925175" cy="1104900"/>
                  <wp:effectExtent l="0" t="0" r="1905" b="7620"/>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17"/>
                          <a:stretch>
                            <a:fillRect/>
                          </a:stretch>
                        </pic:blipFill>
                        <pic:spPr>
                          <a:xfrm>
                            <a:off x="0" y="0"/>
                            <a:ext cx="10925175" cy="1104900"/>
                          </a:xfrm>
                          <a:prstGeom prst="rect">
                            <a:avLst/>
                          </a:prstGeom>
                          <a:noFill/>
                          <a:ln w="9525">
                            <a:noFill/>
                          </a:ln>
                        </pic:spPr>
                      </pic:pic>
                    </a:graphicData>
                  </a:graphic>
                </wp:inline>
              </w:drawing>
            </w:r>
            <w:r>
              <w:rPr>
                <w:rFonts w:hint="default" w:ascii="Calibri" w:hAnsi="Calibri" w:eastAsia="宋体" w:cs="Calibri"/>
                <w:caps w:val="0"/>
                <w:spacing w:val="0"/>
                <w:kern w:val="0"/>
                <w:sz w:val="21"/>
                <w:szCs w:val="21"/>
                <w:lang w:val="en-US" w:eastAsia="zh-CN" w:bidi="ar"/>
              </w:rPr>
              <w:t> </w:t>
            </w:r>
          </w:p>
          <w:p>
            <w:pPr>
              <w:keepNext w:val="0"/>
              <w:keepLines w:val="0"/>
              <w:widowControl/>
              <w:suppressLineNumbers w:val="0"/>
              <w:spacing w:before="0" w:beforeAutospacing="1" w:after="0" w:afterAutospacing="1" w:line="216" w:lineRule="atLeast"/>
              <w:ind w:left="0" w:right="0" w:firstLine="420"/>
              <w:jc w:val="center"/>
            </w:pPr>
            <w:r>
              <w:rPr>
                <w:rFonts w:hint="default" w:ascii="Calibri" w:hAnsi="Calibri" w:eastAsia="宋体" w:cs="Calibri"/>
                <w:caps w:val="0"/>
                <w:spacing w:val="0"/>
                <w:kern w:val="0"/>
                <w:sz w:val="21"/>
                <w:szCs w:val="21"/>
                <w:lang w:val="en-US" w:eastAsia="zh-CN" w:bidi="ar"/>
              </w:rPr>
              <w:drawing>
                <wp:inline distT="0" distB="0" distL="114300" distR="114300">
                  <wp:extent cx="10915650" cy="571500"/>
                  <wp:effectExtent l="0" t="0" r="11430" b="7620"/>
                  <wp:docPr id="2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IMG_270"/>
                          <pic:cNvPicPr>
                            <a:picLocks noChangeAspect="1"/>
                          </pic:cNvPicPr>
                        </pic:nvPicPr>
                        <pic:blipFill>
                          <a:blip r:embed="rId18"/>
                          <a:stretch>
                            <a:fillRect/>
                          </a:stretch>
                        </pic:blipFill>
                        <pic:spPr>
                          <a:xfrm>
                            <a:off x="0" y="0"/>
                            <a:ext cx="10915650" cy="5715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  </w:t>
            </w:r>
            <w:r>
              <w:rPr>
                <w:rFonts w:hint="eastAsia" w:ascii="微软雅黑" w:hAnsi="微软雅黑" w:eastAsia="微软雅黑" w:cs="微软雅黑"/>
                <w:caps w:val="0"/>
                <w:spacing w:val="0"/>
                <w:kern w:val="0"/>
                <w:sz w:val="21"/>
                <w:szCs w:val="21"/>
                <w:shd w:val="clear" w:fill="FFFFFF"/>
                <w:lang w:val="en-US" w:eastAsia="zh-CN" w:bidi="ar"/>
              </w:rPr>
              <w:drawing>
                <wp:inline distT="0" distB="0" distL="114300" distR="114300">
                  <wp:extent cx="1914525" cy="1314450"/>
                  <wp:effectExtent l="0" t="0" r="5715" b="11430"/>
                  <wp:docPr id="2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71"/>
                          <pic:cNvPicPr>
                            <a:picLocks noChangeAspect="1"/>
                          </pic:cNvPicPr>
                        </pic:nvPicPr>
                        <pic:blipFill>
                          <a:blip r:embed="rId19"/>
                          <a:stretch>
                            <a:fillRect/>
                          </a:stretch>
                        </pic:blipFill>
                        <pic:spPr>
                          <a:xfrm>
                            <a:off x="0" y="0"/>
                            <a:ext cx="1914525" cy="13144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52"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二、合家网</w:t>
            </w:r>
          </w:p>
          <w:p>
            <w:pPr>
              <w:keepNext w:val="0"/>
              <w:keepLines w:val="0"/>
              <w:widowControl/>
              <w:suppressLineNumbers w:val="0"/>
              <w:spacing w:before="0" w:beforeAutospacing="1" w:after="0" w:afterAutospacing="1" w:line="252"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本月在合家网投放广告的有三峡蔬果交易中心、万豪中心、保利香槟国际、弘洋·拉菲小镇、宜昌中心、保利罗兰香谷、观山水、均瑶御景天地。</w:t>
            </w:r>
          </w:p>
          <w:p>
            <w:pPr>
              <w:keepNext w:val="0"/>
              <w:keepLines w:val="0"/>
              <w:widowControl/>
              <w:suppressLineNumbers w:val="0"/>
              <w:spacing w:before="0" w:beforeAutospacing="1" w:after="0" w:afterAutospacing="1" w:line="252" w:lineRule="atLeast"/>
              <w:ind w:left="-360" w:right="0"/>
              <w:jc w:val="center"/>
            </w:pP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12211050" cy="2838450"/>
                  <wp:effectExtent l="0" t="0" r="11430" b="11430"/>
                  <wp:docPr id="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72"/>
                          <pic:cNvPicPr>
                            <a:picLocks noChangeAspect="1"/>
                          </pic:cNvPicPr>
                        </pic:nvPicPr>
                        <pic:blipFill>
                          <a:blip r:embed="rId20"/>
                          <a:stretch>
                            <a:fillRect/>
                          </a:stretch>
                        </pic:blipFill>
                        <pic:spPr>
                          <a:xfrm>
                            <a:off x="0" y="0"/>
                            <a:ext cx="12211050" cy="2838450"/>
                          </a:xfrm>
                          <a:prstGeom prst="rect">
                            <a:avLst/>
                          </a:prstGeom>
                          <a:noFill/>
                          <a:ln w="9525">
                            <a:noFill/>
                          </a:ln>
                        </pic:spPr>
                      </pic:pic>
                    </a:graphicData>
                  </a:graphic>
                </wp:inline>
              </w:drawing>
            </w:r>
            <w:r>
              <w:rPr>
                <w:rFonts w:hint="default" w:ascii="Calibri" w:hAnsi="Calibri" w:eastAsia="微软雅黑" w:cs="Calibri"/>
                <w:caps w:val="0"/>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52" w:lineRule="atLeast"/>
              <w:ind w:left="-360" w:right="0"/>
              <w:jc w:val="center"/>
            </w:pP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12172950" cy="2819400"/>
                  <wp:effectExtent l="0" t="0" r="3810" b="0"/>
                  <wp:docPr id="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73"/>
                          <pic:cNvPicPr>
                            <a:picLocks noChangeAspect="1"/>
                          </pic:cNvPicPr>
                        </pic:nvPicPr>
                        <pic:blipFill>
                          <a:blip r:embed="rId21"/>
                          <a:stretch>
                            <a:fillRect/>
                          </a:stretch>
                        </pic:blipFill>
                        <pic:spPr>
                          <a:xfrm>
                            <a:off x="0" y="0"/>
                            <a:ext cx="12172950" cy="2819400"/>
                          </a:xfrm>
                          <a:prstGeom prst="rect">
                            <a:avLst/>
                          </a:prstGeom>
                          <a:noFill/>
                          <a:ln w="9525">
                            <a:noFill/>
                          </a:ln>
                        </pic:spPr>
                      </pic:pic>
                    </a:graphicData>
                  </a:graphic>
                </wp:inline>
              </w:drawing>
            </w:r>
            <w:r>
              <w:rPr>
                <w:rFonts w:hint="default" w:ascii="Calibri" w:hAnsi="Calibri" w:eastAsia="微软雅黑" w:cs="Calibri"/>
                <w:caps w:val="0"/>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52" w:lineRule="atLeast"/>
              <w:ind w:left="-360" w:right="0"/>
              <w:jc w:val="center"/>
            </w:pP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12172950" cy="2838450"/>
                  <wp:effectExtent l="0" t="0" r="3810" b="11430"/>
                  <wp:docPr id="2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274"/>
                          <pic:cNvPicPr>
                            <a:picLocks noChangeAspect="1"/>
                          </pic:cNvPicPr>
                        </pic:nvPicPr>
                        <pic:blipFill>
                          <a:blip r:embed="rId22"/>
                          <a:stretch>
                            <a:fillRect/>
                          </a:stretch>
                        </pic:blipFill>
                        <pic:spPr>
                          <a:xfrm>
                            <a:off x="0" y="0"/>
                            <a:ext cx="12172950" cy="2838450"/>
                          </a:xfrm>
                          <a:prstGeom prst="rect">
                            <a:avLst/>
                          </a:prstGeom>
                          <a:noFill/>
                          <a:ln w="9525">
                            <a:noFill/>
                          </a:ln>
                        </pic:spPr>
                      </pic:pic>
                    </a:graphicData>
                  </a:graphic>
                </wp:inline>
              </w:drawing>
            </w:r>
            <w:r>
              <w:rPr>
                <w:rFonts w:hint="default" w:ascii="Calibri" w:hAnsi="Calibri" w:eastAsia="微软雅黑" w:cs="Calibri"/>
                <w:caps w:val="0"/>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52" w:lineRule="atLeast"/>
              <w:ind w:left="-360" w:right="0"/>
              <w:jc w:val="center"/>
            </w:pPr>
            <w:r>
              <w:rPr>
                <w:rFonts w:hint="eastAsia" w:ascii="宋体" w:hAnsi="宋体" w:eastAsia="宋体" w:cs="宋体"/>
                <w:caps w:val="0"/>
                <w:spacing w:val="0"/>
                <w:kern w:val="0"/>
                <w:sz w:val="21"/>
                <w:szCs w:val="21"/>
                <w:shd w:val="clear" w:fill="FFFFFF"/>
                <w:lang w:val="en-US" w:eastAsia="zh-CN" w:bidi="ar"/>
              </w:rPr>
              <w:t>  </w:t>
            </w:r>
            <w:r>
              <w:rPr>
                <w:rFonts w:hint="eastAsia" w:ascii="宋体" w:hAnsi="宋体" w:eastAsia="宋体" w:cs="宋体"/>
                <w:caps w:val="0"/>
                <w:spacing w:val="0"/>
                <w:kern w:val="0"/>
                <w:sz w:val="21"/>
                <w:szCs w:val="21"/>
                <w:shd w:val="clear" w:fill="FFFFFF"/>
                <w:lang w:val="en-US" w:eastAsia="zh-CN" w:bidi="ar"/>
              </w:rPr>
              <w:drawing>
                <wp:inline distT="0" distB="0" distL="114300" distR="114300">
                  <wp:extent cx="12163425" cy="2838450"/>
                  <wp:effectExtent l="0" t="0" r="13335" b="11430"/>
                  <wp:docPr id="3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IMG_275"/>
                          <pic:cNvPicPr>
                            <a:picLocks noChangeAspect="1"/>
                          </pic:cNvPicPr>
                        </pic:nvPicPr>
                        <pic:blipFill>
                          <a:blip r:embed="rId23"/>
                          <a:stretch>
                            <a:fillRect/>
                          </a:stretch>
                        </pic:blipFill>
                        <pic:spPr>
                          <a:xfrm>
                            <a:off x="0" y="0"/>
                            <a:ext cx="12163425" cy="2838450"/>
                          </a:xfrm>
                          <a:prstGeom prst="rect">
                            <a:avLst/>
                          </a:prstGeom>
                          <a:noFill/>
                          <a:ln w="9525">
                            <a:noFill/>
                          </a:ln>
                        </pic:spPr>
                      </pic:pic>
                    </a:graphicData>
                  </a:graphic>
                </wp:inline>
              </w:drawing>
            </w:r>
            <w:r>
              <w:rPr>
                <w:rFonts w:hint="eastAsia" w:ascii="宋体" w:hAnsi="宋体" w:eastAsia="宋体" w:cs="宋体"/>
                <w:caps w:val="0"/>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52" w:lineRule="atLeast"/>
              <w:ind w:left="-360" w:right="0"/>
              <w:jc w:val="center"/>
            </w:pPr>
            <w:r>
              <w:rPr>
                <w:rFonts w:hint="default" w:ascii="Calibri" w:hAnsi="Calibri" w:eastAsia="微软雅黑" w:cs="Calibri"/>
                <w:caps w:val="0"/>
                <w:spacing w:val="0"/>
                <w:kern w:val="0"/>
                <w:sz w:val="21"/>
                <w:szCs w:val="21"/>
                <w:shd w:val="clear" w:fill="FFFFFF"/>
                <w:lang w:val="en-US" w:eastAsia="zh-CN" w:bidi="ar"/>
              </w:rPr>
              <w:t> </w:t>
            </w: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7734300" cy="876300"/>
                  <wp:effectExtent l="0" t="0" r="7620" b="7620"/>
                  <wp:docPr id="2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76"/>
                          <pic:cNvPicPr>
                            <a:picLocks noChangeAspect="1"/>
                          </pic:cNvPicPr>
                        </pic:nvPicPr>
                        <pic:blipFill>
                          <a:blip r:embed="rId24"/>
                          <a:stretch>
                            <a:fillRect/>
                          </a:stretch>
                        </pic:blipFill>
                        <pic:spPr>
                          <a:xfrm>
                            <a:off x="0" y="0"/>
                            <a:ext cx="7734300" cy="8763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52" w:lineRule="atLeast"/>
              <w:ind w:left="-360" w:right="0"/>
              <w:jc w:val="center"/>
            </w:pP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7800975" cy="447675"/>
                  <wp:effectExtent l="0" t="0" r="1905" b="9525"/>
                  <wp:docPr id="3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IMG_277"/>
                          <pic:cNvPicPr>
                            <a:picLocks noChangeAspect="1"/>
                          </pic:cNvPicPr>
                        </pic:nvPicPr>
                        <pic:blipFill>
                          <a:blip r:embed="rId25"/>
                          <a:stretch>
                            <a:fillRect/>
                          </a:stretch>
                        </pic:blipFill>
                        <pic:spPr>
                          <a:xfrm>
                            <a:off x="0" y="0"/>
                            <a:ext cx="7800975" cy="447675"/>
                          </a:xfrm>
                          <a:prstGeom prst="rect">
                            <a:avLst/>
                          </a:prstGeom>
                          <a:noFill/>
                          <a:ln w="9525">
                            <a:noFill/>
                          </a:ln>
                        </pic:spPr>
                      </pic:pic>
                    </a:graphicData>
                  </a:graphic>
                </wp:inline>
              </w:drawing>
            </w:r>
            <w:r>
              <w:rPr>
                <w:rFonts w:hint="default" w:ascii="Calibri" w:hAnsi="Calibri" w:eastAsia="微软雅黑" w:cs="Calibri"/>
                <w:caps w:val="0"/>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52" w:lineRule="atLeast"/>
              <w:ind w:left="-360" w:right="0"/>
              <w:jc w:val="center"/>
            </w:pP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7705725" cy="419100"/>
                  <wp:effectExtent l="0" t="0" r="5715" b="7620"/>
                  <wp:docPr id="3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IMG_278"/>
                          <pic:cNvPicPr>
                            <a:picLocks noChangeAspect="1"/>
                          </pic:cNvPicPr>
                        </pic:nvPicPr>
                        <pic:blipFill>
                          <a:blip r:embed="rId26"/>
                          <a:stretch>
                            <a:fillRect/>
                          </a:stretch>
                        </pic:blipFill>
                        <pic:spPr>
                          <a:xfrm>
                            <a:off x="0" y="0"/>
                            <a:ext cx="7705725" cy="419100"/>
                          </a:xfrm>
                          <a:prstGeom prst="rect">
                            <a:avLst/>
                          </a:prstGeom>
                          <a:noFill/>
                          <a:ln w="9525">
                            <a:noFill/>
                          </a:ln>
                        </pic:spPr>
                      </pic:pic>
                    </a:graphicData>
                  </a:graphic>
                </wp:inline>
              </w:drawing>
            </w:r>
            <w:r>
              <w:rPr>
                <w:rFonts w:hint="default" w:ascii="Calibri" w:hAnsi="Calibri" w:eastAsia="微软雅黑" w:cs="Calibri"/>
                <w:caps w:val="0"/>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52" w:lineRule="atLeast"/>
              <w:ind w:left="-360" w:right="0"/>
              <w:jc w:val="center"/>
            </w:pP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7734300" cy="419100"/>
                  <wp:effectExtent l="0" t="0" r="7620" b="7620"/>
                  <wp:docPr id="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IMG_279"/>
                          <pic:cNvPicPr>
                            <a:picLocks noChangeAspect="1"/>
                          </pic:cNvPicPr>
                        </pic:nvPicPr>
                        <pic:blipFill>
                          <a:blip r:embed="rId27"/>
                          <a:stretch>
                            <a:fillRect/>
                          </a:stretch>
                        </pic:blipFill>
                        <pic:spPr>
                          <a:xfrm>
                            <a:off x="0" y="0"/>
                            <a:ext cx="7734300" cy="4191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52" w:lineRule="atLeast"/>
              <w:ind w:left="-360" w:right="0"/>
              <w:jc w:val="center"/>
            </w:pPr>
            <w:r>
              <w:rPr>
                <w:rFonts w:hint="default" w:ascii="Calibri" w:hAnsi="Calibri" w:eastAsia="微软雅黑" w:cs="Calibri"/>
                <w:caps w:val="0"/>
                <w:spacing w:val="0"/>
                <w:kern w:val="0"/>
                <w:sz w:val="21"/>
                <w:szCs w:val="21"/>
                <w:shd w:val="clear" w:fill="FFFFFF"/>
                <w:lang w:val="en-US" w:eastAsia="zh-CN" w:bidi="ar"/>
              </w:rPr>
              <w:t> </w:t>
            </w: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5791200" cy="1095375"/>
                  <wp:effectExtent l="0" t="0" r="0" b="1905"/>
                  <wp:docPr id="1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IMG_280"/>
                          <pic:cNvPicPr>
                            <a:picLocks noChangeAspect="1"/>
                          </pic:cNvPicPr>
                        </pic:nvPicPr>
                        <pic:blipFill>
                          <a:blip r:embed="rId28"/>
                          <a:stretch>
                            <a:fillRect/>
                          </a:stretch>
                        </pic:blipFill>
                        <pic:spPr>
                          <a:xfrm>
                            <a:off x="0" y="0"/>
                            <a:ext cx="5791200" cy="10953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52" w:lineRule="atLeast"/>
              <w:ind w:left="-360" w:right="0"/>
              <w:jc w:val="center"/>
            </w:pPr>
            <w:r>
              <w:rPr>
                <w:rFonts w:hint="default" w:ascii="Calibri" w:hAnsi="Calibri" w:eastAsia="微软雅黑" w:cs="Calibri"/>
                <w:caps w:val="0"/>
                <w:spacing w:val="0"/>
                <w:kern w:val="0"/>
                <w:sz w:val="21"/>
                <w:szCs w:val="21"/>
                <w:shd w:val="clear" w:fill="FFFFFF"/>
                <w:lang w:val="en-US" w:eastAsia="zh-CN" w:bidi="ar"/>
              </w:rPr>
              <w:t> </w:t>
            </w: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1971675" cy="1495425"/>
                  <wp:effectExtent l="0" t="0" r="9525" b="13335"/>
                  <wp:docPr id="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IMG_281"/>
                          <pic:cNvPicPr>
                            <a:picLocks noChangeAspect="1"/>
                          </pic:cNvPicPr>
                        </pic:nvPicPr>
                        <pic:blipFill>
                          <a:blip r:embed="rId29"/>
                          <a:stretch>
                            <a:fillRect/>
                          </a:stretch>
                        </pic:blipFill>
                        <pic:spPr>
                          <a:xfrm>
                            <a:off x="0" y="0"/>
                            <a:ext cx="1971675" cy="1495425"/>
                          </a:xfrm>
                          <a:prstGeom prst="rect">
                            <a:avLst/>
                          </a:prstGeom>
                          <a:noFill/>
                          <a:ln w="9525">
                            <a:noFill/>
                          </a:ln>
                        </pic:spPr>
                      </pic:pic>
                    </a:graphicData>
                  </a:graphic>
                </wp:inline>
              </w:drawing>
            </w: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1762125" cy="1362075"/>
                  <wp:effectExtent l="0" t="0" r="5715" b="9525"/>
                  <wp:docPr id="1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descr="IMG_282"/>
                          <pic:cNvPicPr>
                            <a:picLocks noChangeAspect="1"/>
                          </pic:cNvPicPr>
                        </pic:nvPicPr>
                        <pic:blipFill>
                          <a:blip r:embed="rId30"/>
                          <a:stretch>
                            <a:fillRect/>
                          </a:stretch>
                        </pic:blipFill>
                        <pic:spPr>
                          <a:xfrm>
                            <a:off x="0" y="0"/>
                            <a:ext cx="1762125" cy="13620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52" w:lineRule="atLeast"/>
              <w:ind w:left="0" w:right="0"/>
              <w:jc w:val="both"/>
            </w:pPr>
            <w:r>
              <w:rPr>
                <w:rFonts w:hint="eastAsia" w:ascii="微软雅黑" w:hAnsi="微软雅黑" w:eastAsia="微软雅黑" w:cs="微软雅黑"/>
                <w:caps w:val="0"/>
                <w:color w:val="333333"/>
                <w:spacing w:val="0"/>
                <w:kern w:val="0"/>
                <w:sz w:val="18"/>
                <w:szCs w:val="18"/>
                <w:shd w:val="clear" w:fill="FFFFFF"/>
                <w:lang w:val="en-US" w:eastAsia="zh-CN" w:bidi="ar"/>
              </w:rPr>
              <w:t> </w:t>
            </w:r>
          </w:p>
          <w:p>
            <w:pPr>
              <w:keepNext w:val="0"/>
              <w:keepLines w:val="0"/>
              <w:widowControl/>
              <w:suppressLineNumbers w:val="0"/>
              <w:spacing w:before="0" w:beforeAutospacing="1" w:after="0" w:afterAutospacing="1" w:line="252"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三、大楚网</w:t>
            </w:r>
          </w:p>
          <w:p>
            <w:pPr>
              <w:keepNext w:val="0"/>
              <w:keepLines w:val="0"/>
              <w:widowControl/>
              <w:suppressLineNumbers w:val="0"/>
              <w:spacing w:before="0" w:beforeAutospacing="1" w:after="0" w:afterAutospacing="1" w:line="252" w:lineRule="atLeast"/>
              <w:ind w:left="420" w:right="0"/>
              <w:jc w:val="left"/>
            </w:pPr>
            <w:r>
              <w:rPr>
                <w:rFonts w:hint="eastAsia" w:ascii="微软雅黑" w:hAnsi="微软雅黑" w:eastAsia="微软雅黑" w:cs="微软雅黑"/>
                <w:caps w:val="0"/>
                <w:spacing w:val="0"/>
                <w:kern w:val="0"/>
                <w:sz w:val="21"/>
                <w:szCs w:val="21"/>
                <w:shd w:val="clear" w:fill="FFFFFF"/>
                <w:lang w:val="en-US" w:eastAsia="zh-CN" w:bidi="ar"/>
              </w:rPr>
              <w:t>本月在大楚网投放广告的有宜化巴黎香颂、东辰雅园、钓鱼台2期、中核·半岛城邦</w:t>
            </w:r>
          </w:p>
          <w:p>
            <w:pPr>
              <w:keepNext w:val="0"/>
              <w:keepLines w:val="0"/>
              <w:widowControl/>
              <w:suppressLineNumbers w:val="0"/>
              <w:spacing w:before="0" w:beforeAutospacing="1" w:after="0" w:afterAutospacing="1" w:line="252" w:lineRule="atLeast"/>
              <w:ind w:left="0" w:right="0"/>
              <w:jc w:val="center"/>
            </w:pP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1057275" cy="2924175"/>
                  <wp:effectExtent l="0" t="0" r="9525" b="1905"/>
                  <wp:docPr id="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IMG_283"/>
                          <pic:cNvPicPr>
                            <a:picLocks noChangeAspect="1"/>
                          </pic:cNvPicPr>
                        </pic:nvPicPr>
                        <pic:blipFill>
                          <a:blip r:embed="rId31"/>
                          <a:stretch>
                            <a:fillRect/>
                          </a:stretch>
                        </pic:blipFill>
                        <pic:spPr>
                          <a:xfrm>
                            <a:off x="0" y="0"/>
                            <a:ext cx="1057275" cy="2924175"/>
                          </a:xfrm>
                          <a:prstGeom prst="rect">
                            <a:avLst/>
                          </a:prstGeom>
                          <a:noFill/>
                          <a:ln w="9525">
                            <a:noFill/>
                          </a:ln>
                        </pic:spPr>
                      </pic:pic>
                    </a:graphicData>
                  </a:graphic>
                </wp:inline>
              </w:drawing>
            </w: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3495675" cy="1676400"/>
                  <wp:effectExtent l="0" t="0" r="9525" b="0"/>
                  <wp:docPr id="18"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descr="IMG_284"/>
                          <pic:cNvPicPr>
                            <a:picLocks noChangeAspect="1"/>
                          </pic:cNvPicPr>
                        </pic:nvPicPr>
                        <pic:blipFill>
                          <a:blip r:embed="rId32"/>
                          <a:stretch>
                            <a:fillRect/>
                          </a:stretch>
                        </pic:blipFill>
                        <pic:spPr>
                          <a:xfrm>
                            <a:off x="0" y="0"/>
                            <a:ext cx="3495675" cy="1676400"/>
                          </a:xfrm>
                          <a:prstGeom prst="rect">
                            <a:avLst/>
                          </a:prstGeom>
                          <a:noFill/>
                          <a:ln w="9525">
                            <a:noFill/>
                          </a:ln>
                        </pic:spPr>
                      </pic:pic>
                    </a:graphicData>
                  </a:graphic>
                </wp:inline>
              </w:drawing>
            </w: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2943225" cy="1895475"/>
                  <wp:effectExtent l="0" t="0" r="13335" b="9525"/>
                  <wp:docPr id="15"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 descr="IMG_285"/>
                          <pic:cNvPicPr>
                            <a:picLocks noChangeAspect="1"/>
                          </pic:cNvPicPr>
                        </pic:nvPicPr>
                        <pic:blipFill>
                          <a:blip r:embed="rId33"/>
                          <a:stretch>
                            <a:fillRect/>
                          </a:stretch>
                        </pic:blipFill>
                        <pic:spPr>
                          <a:xfrm>
                            <a:off x="0" y="0"/>
                            <a:ext cx="2943225" cy="1895475"/>
                          </a:xfrm>
                          <a:prstGeom prst="rect">
                            <a:avLst/>
                          </a:prstGeom>
                          <a:noFill/>
                          <a:ln w="9525">
                            <a:noFill/>
                          </a:ln>
                        </pic:spPr>
                      </pic:pic>
                    </a:graphicData>
                  </a:graphic>
                </wp:inline>
              </w:drawing>
            </w:r>
            <w:r>
              <w:rPr>
                <w:rFonts w:hint="default" w:ascii="Calibri" w:hAnsi="Calibri" w:eastAsia="微软雅黑" w:cs="Calibri"/>
                <w:caps w:val="0"/>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52"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四、新浪乐居</w:t>
            </w:r>
          </w:p>
          <w:p>
            <w:pPr>
              <w:keepNext w:val="0"/>
              <w:keepLines w:val="0"/>
              <w:widowControl/>
              <w:suppressLineNumbers w:val="0"/>
              <w:spacing w:before="0" w:beforeAutospacing="1" w:after="0" w:afterAutospacing="1" w:line="252"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    </w:t>
            </w:r>
            <w:r>
              <w:rPr>
                <w:rFonts w:hint="eastAsia" w:ascii="微软雅黑" w:hAnsi="微软雅黑" w:eastAsia="微软雅黑" w:cs="微软雅黑"/>
                <w:b w:val="0"/>
                <w:caps w:val="0"/>
                <w:spacing w:val="0"/>
                <w:kern w:val="0"/>
                <w:sz w:val="24"/>
                <w:szCs w:val="24"/>
                <w:shd w:val="clear" w:fill="FFFFFF"/>
                <w:lang w:val="en-US" w:eastAsia="zh-CN" w:bidi="ar"/>
              </w:rPr>
              <w:t>本月在新浪乐居投放广告的楼盘有北大资源·颐和府、万豪中心、御景天地、三峡果蔬交易中心、弘洋拉菲小镇4期。</w:t>
            </w:r>
          </w:p>
          <w:p>
            <w:pPr>
              <w:keepNext w:val="0"/>
              <w:keepLines w:val="0"/>
              <w:widowControl/>
              <w:suppressLineNumbers w:val="0"/>
              <w:spacing w:before="0" w:beforeAutospacing="1" w:after="0" w:afterAutospacing="1" w:line="252" w:lineRule="atLeast"/>
              <w:ind w:left="0" w:right="0"/>
              <w:jc w:val="both"/>
            </w:pPr>
            <w:r>
              <w:rPr>
                <w:rFonts w:hint="default" w:ascii="Calibri" w:hAnsi="Calibri" w:eastAsia="微软雅黑" w:cs="Calibri"/>
                <w:caps w:val="0"/>
                <w:spacing w:val="0"/>
                <w:kern w:val="0"/>
                <w:sz w:val="21"/>
                <w:szCs w:val="21"/>
                <w:shd w:val="clear" w:fill="FFFFFF"/>
                <w:lang w:val="en-US" w:eastAsia="zh-CN" w:bidi="ar"/>
              </w:rPr>
              <w:t>        </w:t>
            </w: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9496425" cy="2171700"/>
                  <wp:effectExtent l="0" t="0" r="13335" b="7620"/>
                  <wp:docPr id="1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descr="IMG_286"/>
                          <pic:cNvPicPr>
                            <a:picLocks noChangeAspect="1"/>
                          </pic:cNvPicPr>
                        </pic:nvPicPr>
                        <pic:blipFill>
                          <a:blip r:embed="rId34"/>
                          <a:stretch>
                            <a:fillRect/>
                          </a:stretch>
                        </pic:blipFill>
                        <pic:spPr>
                          <a:xfrm>
                            <a:off x="0" y="0"/>
                            <a:ext cx="9496425" cy="21717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52" w:lineRule="atLeast"/>
              <w:ind w:left="0" w:right="0"/>
              <w:jc w:val="both"/>
            </w:pPr>
            <w:r>
              <w:rPr>
                <w:rFonts w:hint="default" w:ascii="Calibri" w:hAnsi="Calibri" w:eastAsia="微软雅黑" w:cs="Calibri"/>
                <w:caps w:val="0"/>
                <w:spacing w:val="0"/>
                <w:kern w:val="0"/>
                <w:sz w:val="21"/>
                <w:szCs w:val="21"/>
                <w:shd w:val="clear" w:fill="FFFFFF"/>
                <w:lang w:val="en-US" w:eastAsia="zh-CN" w:bidi="ar"/>
              </w:rPr>
              <w:t>        </w:t>
            </w: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9467850" cy="2076450"/>
                  <wp:effectExtent l="0" t="0" r="11430" b="11430"/>
                  <wp:docPr id="1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descr="IMG_287"/>
                          <pic:cNvPicPr>
                            <a:picLocks noChangeAspect="1"/>
                          </pic:cNvPicPr>
                        </pic:nvPicPr>
                        <pic:blipFill>
                          <a:blip r:embed="rId35"/>
                          <a:stretch>
                            <a:fillRect/>
                          </a:stretch>
                        </pic:blipFill>
                        <pic:spPr>
                          <a:xfrm>
                            <a:off x="0" y="0"/>
                            <a:ext cx="9467850" cy="20764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52" w:lineRule="atLeast"/>
              <w:ind w:left="0" w:right="0"/>
              <w:jc w:val="both"/>
            </w:pPr>
            <w:r>
              <w:rPr>
                <w:rFonts w:hint="default" w:ascii="Calibri" w:hAnsi="Calibri" w:eastAsia="微软雅黑" w:cs="Calibri"/>
                <w:caps w:val="0"/>
                <w:spacing w:val="0"/>
                <w:kern w:val="0"/>
                <w:sz w:val="21"/>
                <w:szCs w:val="21"/>
                <w:shd w:val="clear" w:fill="FFFFFF"/>
                <w:lang w:val="en-US" w:eastAsia="zh-CN" w:bidi="ar"/>
              </w:rPr>
              <w:t>        </w:t>
            </w:r>
            <w:r>
              <w:rPr>
                <w:rFonts w:hint="default" w:ascii="Calibri" w:hAnsi="Calibri" w:eastAsia="微软雅黑" w:cs="Calibri"/>
                <w:caps w:val="0"/>
                <w:spacing w:val="0"/>
                <w:kern w:val="0"/>
                <w:sz w:val="21"/>
                <w:szCs w:val="21"/>
                <w:shd w:val="clear" w:fill="FFFFFF"/>
                <w:lang w:val="en-US" w:eastAsia="zh-CN" w:bidi="ar"/>
              </w:rPr>
              <w:drawing>
                <wp:inline distT="0" distB="0" distL="114300" distR="114300">
                  <wp:extent cx="9505950" cy="2047875"/>
                  <wp:effectExtent l="0" t="0" r="3810" b="9525"/>
                  <wp:docPr id="1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3" descr="IMG_288"/>
                          <pic:cNvPicPr>
                            <a:picLocks noChangeAspect="1"/>
                          </pic:cNvPicPr>
                        </pic:nvPicPr>
                        <pic:blipFill>
                          <a:blip r:embed="rId36"/>
                          <a:stretch>
                            <a:fillRect/>
                          </a:stretch>
                        </pic:blipFill>
                        <pic:spPr>
                          <a:xfrm>
                            <a:off x="0" y="0"/>
                            <a:ext cx="9505950" cy="20478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52" w:lineRule="atLeast"/>
              <w:ind w:left="0" w:right="0"/>
              <w:jc w:val="both"/>
            </w:pPr>
            <w:r>
              <w:rPr>
                <w:rFonts w:hint="eastAsia" w:ascii="宋体" w:hAnsi="宋体" w:eastAsia="宋体" w:cs="宋体"/>
                <w:caps w:val="0"/>
                <w:spacing w:val="0"/>
                <w:kern w:val="0"/>
                <w:sz w:val="21"/>
                <w:szCs w:val="21"/>
                <w:shd w:val="clear" w:fill="FFFFFF"/>
                <w:lang w:val="en-US" w:eastAsia="zh-CN" w:bidi="ar"/>
              </w:rPr>
              <w:t>   </w:t>
            </w:r>
            <w:r>
              <w:rPr>
                <w:rFonts w:hint="eastAsia" w:ascii="宋体" w:hAnsi="宋体" w:eastAsia="宋体" w:cs="宋体"/>
                <w:caps w:val="0"/>
                <w:spacing w:val="0"/>
                <w:kern w:val="0"/>
                <w:sz w:val="21"/>
                <w:szCs w:val="21"/>
                <w:shd w:val="clear" w:fill="FFFFFF"/>
                <w:lang w:val="en-US" w:eastAsia="zh-CN" w:bidi="ar"/>
              </w:rPr>
              <w:drawing>
                <wp:inline distT="0" distB="0" distL="114300" distR="114300">
                  <wp:extent cx="9486900" cy="2047875"/>
                  <wp:effectExtent l="0" t="0" r="7620" b="9525"/>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37"/>
                          <a:stretch>
                            <a:fillRect/>
                          </a:stretch>
                        </pic:blipFill>
                        <pic:spPr>
                          <a:xfrm>
                            <a:off x="0" y="0"/>
                            <a:ext cx="9486900" cy="20478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52" w:lineRule="atLeast"/>
              <w:ind w:left="42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12月份临近春节，多个楼盘加大宣传力度，吸引客户到访，冲次年底销售。同时部分楼盘选择在年底加推或者开盘，在网上集中造势，促进成交。</w:t>
            </w:r>
          </w:p>
          <w:p>
            <w:pPr>
              <w:keepNext w:val="0"/>
              <w:keepLines w:val="0"/>
              <w:widowControl/>
              <w:suppressLineNumbers w:val="0"/>
              <w:spacing w:before="0" w:beforeAutospacing="1" w:after="0" w:afterAutospacing="1" w:line="252" w:lineRule="atLeast"/>
              <w:ind w:left="0" w:right="0" w:firstLine="2161"/>
              <w:jc w:val="right"/>
            </w:pPr>
            <w:r>
              <w:rPr>
                <w:rFonts w:hint="eastAsia" w:ascii="微软雅黑" w:hAnsi="微软雅黑" w:eastAsia="微软雅黑" w:cs="微软雅黑"/>
                <w:b/>
                <w:caps w:val="0"/>
                <w:spacing w:val="0"/>
                <w:kern w:val="0"/>
                <w:sz w:val="24"/>
                <w:szCs w:val="24"/>
                <w:shd w:val="clear" w:fill="FFFFFF"/>
                <w:lang w:val="en-US" w:eastAsia="zh-CN" w:bidi="ar"/>
              </w:rPr>
              <w:t>武汉正邦兴业地产顾问有限公司</w:t>
            </w:r>
          </w:p>
          <w:p>
            <w:pPr>
              <w:keepNext w:val="0"/>
              <w:keepLines w:val="0"/>
              <w:widowControl/>
              <w:suppressLineNumbers w:val="0"/>
              <w:spacing w:before="0" w:beforeAutospacing="1" w:after="0" w:afterAutospacing="1" w:line="252" w:lineRule="atLeast"/>
              <w:ind w:left="420" w:right="0" w:firstLine="480"/>
              <w:jc w:val="right"/>
            </w:pPr>
            <w:r>
              <w:rPr>
                <w:rFonts w:hint="eastAsia" w:ascii="微软雅黑" w:hAnsi="微软雅黑" w:eastAsia="微软雅黑" w:cs="微软雅黑"/>
                <w:b/>
                <w:caps w:val="0"/>
                <w:spacing w:val="0"/>
                <w:kern w:val="0"/>
                <w:sz w:val="24"/>
                <w:szCs w:val="24"/>
                <w:shd w:val="clear" w:fill="FFFFFF"/>
                <w:lang w:val="en-US" w:eastAsia="zh-CN" w:bidi="ar"/>
              </w:rPr>
              <w:t>2019年1月4日</w:t>
            </w:r>
          </w:p>
        </w:tc>
      </w:tr>
    </w:tbl>
    <w:p>
      <w:pPr>
        <w:keepNext w:val="0"/>
        <w:keepLines w:val="0"/>
        <w:widowControl/>
        <w:suppressLineNumbers w:val="0"/>
        <w:jc w:val="left"/>
      </w:pPr>
    </w:p>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BE01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2019-10-24T09:11:03Z</dcterms:created>
  <dc:creator>HP</dc:creator>
  <cp:lastModifiedBy>joke</cp:lastModifiedBy>
  <dcterms:modified xsi:type="dcterms:W3CDTF">2019-10-24T09:11:07Z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