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2013年12月黄冈市城区房地产市场分析报告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发布时间：2/8/2014 5:55:06 PM 浏览：2426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第一部分  楼市政策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12月9日        国家信息中心报告：明年房价还要涨5%左右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明年我国房地产市场整体将保持小幅增长，预计全年房价的涨幅在5%左右，考虑到2013年的翘尾因素，2014年上半年的房价指数可能会在8%以上。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今年前三季度，我国经济分别增长7.7%、7.5%和7.8%，累计增长7.7%，规模以上工业增加值累计增长9.6%，工业企业效益出现恢复性增长，前8个月实现利润同比增长12.8%，绿皮书预测，全年GDP将增长7.6%。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在国内货币流动性相对宽松、工资等成本压力较大等作用下，居民消费价格保持温和上涨态势，2013年1至9月CPI同比上涨2.5%，涨幅同比放缓0.3个百分点。受新涨价因素累积、季节性以及极端灾害天气等因素的影响，第四季度CPI将上涨3%以上，全年CPI上涨2.7%左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预计2014年我国GDP将增长7.5%左右，工业增速稳中略降，规模以上工业增加值实际增长9.3%，同比放缓0.3个百分点。预计明年房产税试点范围将进一步扩大，并和财税体制改革结合在一起，继续探索利用房产税来缓解地方政府对土地收入过度依赖的局面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12月29日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国土部：表示明年严控土地增量地方调控承压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据经济之声的报道，国土资源部中国土地勘测规划院26日发布了《2013中国土地政策蓝皮书》。国土部表示，明年用地规模将实施总量控制和减量的供应，另外，与房地产税密切相关的不动产统一登记制度建设已有了新的时间表。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这段时间大约有18个城市推出了楼市调控的新政，其中15个城市提出“要扩大土地供应”。亚太城市房地产业协会会长谢逸枫分析认为，明年的用地政策，也许将给地方楼市的调控带来压力。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一面是市场希望增加土地供应为房价上涨减压，另一面是国家将严控土地供应增量。中国土地勘测规划院地价所所长赵松认为，两难之下，地方政府可以选择的策略是挖掘存量用地。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  除了在土地供应上做文章外，房产税也被业内视为调控房价的利器。但前提是，要实施不动产统一登记制度，摸清市场情况。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12月29日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住建部正拟定楼市重点监控名单：北上广深入围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十八届三中全会后，房地产行政化调控的预期渐浓，然而，一切却并非如地产商们所预计的乐观。住房和城乡建设部(下称“住建部”)正在草拟2014年重点监控房地产市场城市的名单，被列入名单的城市须从严执行限购限价等楼市调控政策。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通过不同方式，日前住建部已经向北京、上海、广州、深圳四城市明确，2014年必须从严落实包括限购限价在内的房地产调控政策。住建部正在拟定重点名单，而这一名单与“房价上涨较快，房地产市场调控压力较大”的城市基本重合。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  在“建设系统工作会”期间，住建部通过不同方式，向北京、上海、广州、深圳四个特大型城市明确了2014年必须从严执行包括“限购”“限价”在内的房地产调控措失。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与此同时，住建部已开始草拟2014年房地产市场重点监测城市的名单。在这份名单上，北、上、广、深已确定“入围”，杭州等房价上涨较快的区域中心城市业已被列入。列入“名单”的城市，除须继续从严落实限购政策外，“对商品房预售价格定价实施行政干预”的“限价手段”，也将暂不退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第二部分．2013年黄冈楼市整体状况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2013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年黄冈楼市整体情况分析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6" w:lineRule="atLeast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刚需置业演绎“井喷”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据黄冈市房地产管理局官方网站统计显示，去年，市区楼市量价均刷新历史新高。全年商品房销售面积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84.12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万平方米，实现销售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8374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套，较之上年分别增长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20.38%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52.39%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。市区商品房每平方米成交均价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4923.22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元，较之上年同期增长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19.03%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。市区住宅销售面积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74.33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万平方米，实现销售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6827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套，每平方米成交均价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4019.46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元。市区商业销售面积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9.23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万平方米，实现销售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1335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套，每平方米成交均价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12232.38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元。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综合分析来看，去年市区楼市销售走势可用一个“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”来描述。去年元至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月份，楼市迎来难得一见的“开门红”，市区商品房销售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1912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套，销售面积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19.68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万平方米，可用放量上行来形容最恰当不过。到了去年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月，这种火爆行情急转直下，市区商品房销售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余套，历经传统的“红五月”后，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月销量又回归到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余套。紧随其后的三季度，每月销量均稳定在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600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套左右。四季度楼市销量再度放量突破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2200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套。具体到项目，升华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翡翠一品、嘉豪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公园世家、金家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上城等三家楼盘挤占销量前三名。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业内人士认为，去年市区楼市演绎“井喷”行情，主要缘于刚性需求的推动，其置业主要群体则是我市新型城镇化所带来的农民进城效应，以及市区家庭二次改善置业的集中释放。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政策调控有保有压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2013年2月20日，国务院常务会议确定完善稳定房价工作责任制、坚决抑制投机投资性购房、增加普通商品住房及用地供应、加快保障性安居工程规划建设、加强市场监管五项加强房地产市场调控的政策措施，即“国五条”。10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天之后，国务院又发布新“国五条”细则，其中规定：二手房交易按转让所得的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20%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征收个人所得税。随着新“国五条”及其细则的出台，楼市激起千层大浪，二手房市场在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月异常火爆，市区楼市出现了排队过户的场面。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尽管新“国五条”被称为史上最严厉的调控机制，但去年下半年，新一届政府着力建立健全长效机制、维持宏观政策稳定，尤其是十八届三中全会将政府工作重心明确为全面深化改革；不动产登记、保障房建设等长效机制工作继续推进，而限购、限贷等调控政策更多交由地方政府决策。进入第四季度，一线城市率先收紧楼市调控政策，随后武汉、厦门、福州等十多个二线城市跟进出台政策，从限购、限贷、增加供应等方面入手加强市场调节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总体来说，去年国家调控“有保有压”方向明确，长效调控机制呼之欲出。去年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月，湖北东坡外滩置业有限公司经过激烈角逐，成功竞拍东方广场对面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130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亩商住用地。去年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日，万景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东坡外滩再度斥资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5.23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亿元成功竞拍万家咀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150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亩地块，拍卖总价高达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5.23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亿元，创造了黄冈建市以来单宗土地拍卖总价及楼面地价的新纪录，被业界称为“黄冈地王”。去年系列调控，并未影响开发商对后市的预期，市区楼市销售屡被刷新，土地拍卖异常火爆，这就是最好的证明。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16" w:lineRule="atLeas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高性价比改写竞争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众所周知，前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年的黄冈楼市，只要有房子就可以好卖；前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年的楼市，只要有一个好的售楼厅就可以好卖；如今的楼市，已经进入品质争优、品牌争先的时代。购房者看好的是项目品质和企业实力，尤其是房子的综合性价比。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纵观去年楼市，卖得最好的升华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翡翠一品、嘉豪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公园世家、金家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上城三个项目，一个共同特点就是小区内部环境好，小区外部环境更漂亮。而与此同时，东门华府、亚坤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帝景豪庭、龙城华府、艳阳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御澜岸、三清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国际华城、明珠广场、金泰国际广场、景江国际、东方名都、中环坐标城等项目纷纷依托各自优势，合理定价，均取得理想的销售业绩。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“不怕不识货，就怕货比货。”当金家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上城阔景园林争宠楼市之时，当升华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翡翠一品创新产品设计之时，一批批高端住宅项目显山露水，让市民寻找到了“什么是生态人居”的真正含义。去年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日，位于东方广场旁边的万景城项目对外亮相，气势恢弘的欧式美学大门，奢华的咖啡吧、书吧、瑜伽室、健身房、斯诺克桌球室，尤其是室外上千平方米下沉式曲线泳池、室内恒温游泳池，顿时惊艳全城。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事实证明，随着竞争的加剧，尤其是人们对住宅品质要求的不断提升，购房者并不是把价格作为唯一选择，而是更加注重开发商实力和企业的品牌优势，更加热衷地段区位、绿化环境、户型设计、物业管理以及项目配套等综合优势。在具备这些优势的同时，开发商只要善于蓄势造势，不愁销售不火爆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商业地产吸金难挡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“买了房子，买间铺子，舒舒服服一辈子。”“错过这铺子，后悔一辈子。”这是黄冈国贸对外的广告宣传，在去年秋季一下子火遍市区大街小巷，形象道出当前投资商业地产的新趋势。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楼市经历近几年的快步发展，市区大多数家庭均较好地解决了住房难题。作为上班一族丢下工作去做生意不太现实，如何在不影响工作前提下，确保家庭财产性收入增加？事实证明，投资股票、基金、黄金，包括银行存款，都很难实现这一目标。要是在好的地段、好的商业综合体、负责任的开发商手中买下一间铺子，还真能够实现家庭财产性收入的稳步增加，这从黄冈奥康商业步行街得到了证明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去年，受益于调控政策的相对宽松和城市快步发展的需要，市区商业地产风生水起。备受市民关注的东坡外滩项目先后对外两次开盘，劲销商铺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300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余套，实现销售收入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亿多元。格兰道项目以叫卖首个集聚宴会、餐饮、住宿、购物于一体的五星级酒店商业综合体，商铺销售大半。去年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月底，沉寂半年的紫金广场项目，成功牵手武汉商业地产领军人徐文斌团队，正式更名为黄冈国贸，经过半年招商推介，认筹客户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460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多组，去年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日对外开盘，当天热销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238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套。市区旧城改造重点项目胜利新街在去年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月底对外亮相后，依托天生古城墙和良好的地段优势，规划设计古典商业街区，吸引了不少投资客关注。去年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日，位于黄冈经济开发区的瑞天广场项目正式对外开街，顺利填补新区无大型商业综合体的历史。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据统计，去年商业地产开启了销售历史上的新篇章，市区商业项目销售接近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万平方米，黄冈国贸和胜利新街项目每平方米最高售价接近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万元。大大小小的商业项目，凭借各自优势，纷纷巧打营销牌和宣传战，成为当前最为吸引资金的主场。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合作推介日渐创新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随着楼市竞争的不断加剧，循规蹈矩已难以吸引客户“眼球”，取而代之的是令人耳目一新的营销策划，围绕“出新、出奇、出彩、出格”，不惜大手笔地砸钱寻找噱头，成为市区楼市的新走势。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活动营销成为常态。曾经的楼市，一般只在认筹和开盘时，搞一些活动吸引人气。如今的楼市，不搞活动很难叫卖。黄冈国贸花费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万元邀请法国红磨坊、武钢文工团前来惠演，让市民同时感受中西合璧的异域风情，同时花费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万元赞助举办黄冈讲坛。新九城地产不惜花费重金，聚集当前最炙手可热的“中国好声音”明星歌手阚立文、戴月，黄冈地区享誉盛名的黄梅戏表演艺术家张辉，武汉市知名谐星阿星，以及众多国内顶级规格的国家一级歌唱家，为市民奉献一台完美的视听盛宴。金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上城别出心裁地举办恐龙展，万景外滩根据不同的时节举办喜乐会、产品推介会，升华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翡翠一品组织举办业主才艺大赛和客户感恩活动……如此好戏连台，真是让人瞠目结舌，他们在颠覆传统营销模式的同时，更是吸引了购房者的“眼球”。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与强势媒体合作成为营销新趋势。去年，各大开发商广告投入费用超过历年，在充分利用手机短信、宣传夹报、户外广告的同时，一些大的楼盘主动与市内强势媒体合作，纷纷抢占《黄冈日报》等主流媒体。黄冈国贸连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个整版，大版面、大篇幅、大阵势，短短一个月吸引认筹客户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300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多组。新九城地产借记者节之际，向黄冈日报社捐赠价值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多万元的手提电脑、录音笔等器材。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2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第三部分.黄冈市12月份及全年销售情况汇表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2013年12月份黄冈市区商品房销售汇总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tbl>
                  <w:tblPr>
                    <w:tblW w:w="8370" w:type="dxa"/>
                    <w:jc w:val="center"/>
                    <w:tblCellSpacing w:w="0" w:type="dxa"/>
                    <w:tblInd w:w="-129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8"/>
                    <w:gridCol w:w="1989"/>
                    <w:gridCol w:w="2547"/>
                    <w:gridCol w:w="2966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70" w:type="dxa"/>
                        <w:gridSpan w:val="4"/>
                        <w:shd w:val="clear" w:color="auto" w:fill="66CC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2013 年 12 月份黄冈市区商品房销售汇总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销售面积 [M2]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销售套数 [ 套 ]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成交均价 [ 元 /M2]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商品房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63690.81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720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5193.14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住 宅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59184.56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515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3953.64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商 业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3875.49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179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24395.43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车 库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500.9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3872.35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写字楼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6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其 它</w:t>
                        </w:r>
                      </w:p>
                    </w:tc>
                    <w:tc>
                      <w:tcPr>
                        <w:tcW w:w="198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129.86</w:t>
                        </w:r>
                      </w:p>
                    </w:tc>
                    <w:tc>
                      <w:tcPr>
                        <w:tcW w:w="254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296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D6E3BC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shd w:val="clear" w:fill="D6E3BC"/>
                            <w:lang w:val="en-US" w:eastAsia="zh-CN" w:bidi="ar"/>
                          </w:rPr>
                          <w:t>2133.68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shd w:val="clear" w:fill="FFFFFF"/>
                      <w:lang w:val="en-US" w:eastAsia="zh-CN" w:bidi="ar"/>
                    </w:rPr>
                    <w:t> </w:t>
                  </w:r>
                </w:p>
                <w:tbl>
                  <w:tblPr>
                    <w:tblW w:w="8370" w:type="dxa"/>
                    <w:jc w:val="center"/>
                    <w:tblCellSpacing w:w="0" w:type="dxa"/>
                    <w:tblInd w:w="-129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"/>
                    <w:gridCol w:w="4118"/>
                    <w:gridCol w:w="2326"/>
                    <w:gridCol w:w="963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70" w:type="dxa"/>
                        <w:gridSpan w:val="4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2013 年 12 月份黄冈市区商品房销售面积前八名排行榜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项目名称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面积 [M2]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套数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中环东源城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9495.4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中环坐标城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9230.1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亚坤·帝景豪庭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7057.26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东方华府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6220.93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升华·翡翠一品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4658.72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36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三清·国际华城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1845.77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金泰国际广场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1503.62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4118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世纪阳光·都市印象</w:t>
                        </w:r>
                      </w:p>
                    </w:tc>
                    <w:tc>
                      <w:tcPr>
                        <w:tcW w:w="2326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1409.9</w:t>
                        </w:r>
                      </w:p>
                    </w:tc>
                    <w:tc>
                      <w:tcPr>
                        <w:tcW w:w="963" w:type="dxa"/>
                        <w:shd w:val="clear" w:color="auto" w:fill="FBD4B4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wordWrap w:val="0"/>
                    <w:spacing w:before="0" w:beforeAutospacing="1" w:after="0" w:afterAutospacing="1" w:line="223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14"/>
                      <w:szCs w:val="14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2013年黄冈市区商品房销售汇总：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tbl>
                  <w:tblPr>
                    <w:tblW w:w="8370" w:type="dxa"/>
                    <w:jc w:val="center"/>
                    <w:tblCellSpacing w:w="0" w:type="dxa"/>
                    <w:tblInd w:w="-129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4"/>
                    <w:gridCol w:w="2159"/>
                    <w:gridCol w:w="2310"/>
                    <w:gridCol w:w="2897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销售面积 [M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vertAlign w:val="superscript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]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销售套数 [ 套 ]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成交均价 [ 元 /M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vertAlign w:val="superscript"/>
                            <w:lang w:val="en-US" w:eastAsia="zh-CN" w:bidi="ar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]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商品房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841201.88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8374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4923.22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住 宅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743254.92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6827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4019.46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商 业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92293.19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1335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12232.38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车 库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3813.51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4268.1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写字楼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858.38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5100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04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其 它</w:t>
                        </w:r>
                      </w:p>
                    </w:tc>
                    <w:tc>
                      <w:tcPr>
                        <w:tcW w:w="2159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981.88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2897" w:type="dxa"/>
                        <w:shd w:val="clear" w:color="auto" w:fill="FFFFCC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4396.64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tbl>
                  <w:tblPr>
                    <w:tblW w:w="8370" w:type="dxa"/>
                    <w:jc w:val="center"/>
                    <w:tblCellSpacing w:w="0" w:type="dxa"/>
                    <w:tblInd w:w="-129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5"/>
                    <w:gridCol w:w="650"/>
                    <w:gridCol w:w="573"/>
                    <w:gridCol w:w="573"/>
                    <w:gridCol w:w="573"/>
                    <w:gridCol w:w="573"/>
                    <w:gridCol w:w="573"/>
                    <w:gridCol w:w="573"/>
                    <w:gridCol w:w="573"/>
                    <w:gridCol w:w="573"/>
                    <w:gridCol w:w="727"/>
                    <w:gridCol w:w="727"/>
                    <w:gridCol w:w="727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70" w:type="dxa"/>
                        <w:gridSpan w:val="13"/>
                        <w:shd w:val="clear" w:color="auto" w:fill="D0FFFF"/>
                        <w:vAlign w:val="center"/>
                      </w:tcPr>
                      <w:tbl>
                        <w:tblPr>
                          <w:tblW w:w="3917" w:type="dxa"/>
                          <w:jc w:val="center"/>
                          <w:tblCellSpacing w:w="0" w:type="dxa"/>
                          <w:tblInd w:w="2211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17"/>
                        </w:tblGrid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917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wordWrap w:val="0"/>
                                <w:spacing w:before="0" w:beforeAutospacing="1" w:after="0" w:afterAutospacing="1" w:line="223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2013年黄冈市区商品房每月销售套数</w:t>
                              </w:r>
                            </w:p>
                          </w:tc>
                        </w:tr>
                      </w:tbl>
                      <w:p>
                        <w:pPr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sz w:val="14"/>
                            <w:szCs w:val="1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8月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9月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10月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11月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12月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商品房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1061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797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758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487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896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387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498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686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989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504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720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住宅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874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675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675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389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802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327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384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425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562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738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461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515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商业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181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221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179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车库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21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写字楼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955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其他</w:t>
                        </w:r>
                      </w:p>
                    </w:tc>
                    <w:tc>
                      <w:tcPr>
                        <w:tcW w:w="650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573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727" w:type="dxa"/>
                        <w:shd w:val="clear" w:color="auto" w:fill="D0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tbl>
                  <w:tblPr>
                    <w:tblW w:w="8370" w:type="dxa"/>
                    <w:jc w:val="center"/>
                    <w:tblCellSpacing w:w="0" w:type="dxa"/>
                    <w:tblInd w:w="-129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78"/>
                    <w:gridCol w:w="3615"/>
                    <w:gridCol w:w="2599"/>
                    <w:gridCol w:w="1078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70" w:type="dxa"/>
                        <w:gridSpan w:val="4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2013 年黄冈市区商品房销售面积前八名排行榜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项目名称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面积 [M2]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套数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升华·翡翠一品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65405.75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556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嘉豪·公园世家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56155.63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449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金家·上城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39872.77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514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龙城华府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33143.57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328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江岸名都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32115.77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293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三清·国际华城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31503.89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265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江山如画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30982.43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268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3615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鸿发·东门华府</w:t>
                        </w:r>
                      </w:p>
                    </w:tc>
                    <w:tc>
                      <w:tcPr>
                        <w:tcW w:w="2599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30573.6</w:t>
                        </w:r>
                      </w:p>
                    </w:tc>
                    <w:tc>
                      <w:tcPr>
                        <w:tcW w:w="1078" w:type="dxa"/>
                        <w:shd w:val="clear" w:color="auto" w:fill="FFCC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1" w:after="0" w:afterAutospacing="1" w:line="223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260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1" w:after="0" w:afterAutospacing="1" w:line="223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23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  <w:bdr w:val="none" w:color="auto" w:sz="0" w:space="0"/>
                      <w:lang w:val="en-US"/>
                    </w:rPr>
                    <w:t>2013</w:t>
                  </w: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  <w:bdr w:val="none" w:color="auto" w:sz="0" w:space="0"/>
                    </w:rPr>
                    <w:t>年与</w:t>
                  </w: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  <w:bdr w:val="none" w:color="auto" w:sz="0" w:space="0"/>
                      <w:lang w:val="en-US"/>
                    </w:rPr>
                    <w:t>2012</w:t>
                  </w: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  <w:bdr w:val="none" w:color="auto" w:sz="0" w:space="0"/>
                    </w:rPr>
                    <w:t>年黄冈市商品房销售对比图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23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  <w:bdr w:val="none" w:color="auto" w:sz="0" w:space="0"/>
                      <w:lang w:val="en-US"/>
                    </w:rPr>
                    <w:drawing>
                      <wp:inline distT="0" distB="0" distL="114300" distR="114300">
                        <wp:extent cx="5400675" cy="2105025"/>
                        <wp:effectExtent l="0" t="0" r="9525" b="13335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675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23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FF0000"/>
                      <w:sz w:val="21"/>
                      <w:szCs w:val="21"/>
                      <w:bdr w:val="none" w:color="auto" w:sz="0" w:space="0"/>
                      <w:lang w:val="en-US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after="240" w:afterAutospacing="0" w:line="223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第四部分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楼市速递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【瑞丰世家】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2014-01-19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68-137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㎡多重户型，涵盖了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68-92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㎡紧凑两房、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118-137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㎡阔绰三房，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132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㎡板式四房等多重双景户型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重礼：定房即享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万抵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万钜惠；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重礼：如期签订合同再享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99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折优惠；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重礼：春节期间购房即送豪华全智能鞋柜；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4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重礼：春节期间一期现房限时特价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3688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元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㎡起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重礼：老客户推荐新客户成功购房即享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1000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元现金回馈，新客户再享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99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折优惠。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与此同时，春节期间，为满足广大市民的文化需求，瑞丰世家特在营销中心一、二楼内展出“遗爱湖风采”优秀摄影作品，及黄冈市东坡书画艺术协会艺术大师们的书画、篆刻等艺术作品展。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【金家上城】 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2014-01-06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315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首付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万起，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80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158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平 购三房另赠一房 。首付可免息分期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轻松入住园林四房。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【东方华府】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2014-01-04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98-121m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看房送车票活动。所有返乡客户凭当天回城车票，都可免费获赠回乡车票一张。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【九城新天地·香颂世家】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 2013-12-30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九城新天地•香颂世家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期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推出欧风美境香颂传世的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92-137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㎡百米阔景美宅新品，认筹钜惠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2000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抵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20000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元。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【江山如画】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2013-12-21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临江樓王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号楼，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万顶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万火爆认筹！ 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91-138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暖阳現房圣诞特惠。关注微信号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jsrh8827123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领钜惠禮包！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【都市印象】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 2013-12-17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号楼新品创世而出，百元入会认购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87-115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㎡全新三房，买房送品牌电瓶车，精美好礼来者有份。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【九城新天地】 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2012-12-11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525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12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日认筹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 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千抵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  <w:lang w:val="en-US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525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375" w:firstLine="560"/>
                    <w:jc w:val="right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武汉正邦兴业地产顾问有限公司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375" w:firstLine="560"/>
                    <w:jc w:val="right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2014年1月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 w:val="0"/>
                    <w:spacing w:after="240" w:afterAutospacing="0" w:line="216" w:lineRule="atLeast"/>
                    <w:ind w:left="0" w:firstLine="525"/>
                  </w:pPr>
                  <w:r>
                    <w:rPr>
                      <w:rFonts w:hint="eastAsia" w:ascii="宋体" w:hAnsi="宋体" w:eastAsia="宋体" w:cs="宋体"/>
                      <w:b/>
                      <w:sz w:val="14"/>
                      <w:szCs w:val="14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wordWrap w:val="0"/>
              <w:spacing w:after="240" w:afterAutospacing="0" w:line="216" w:lineRule="atLeast"/>
              <w:ind w:firstLine="525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D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2019-09-30T01:42:10Z</dcterms:created>
  <dc:creator>HP</dc:creator>
  <cp:lastModifiedBy>joke</cp:lastModifiedBy>
  <dcterms:modified xsi:type="dcterms:W3CDTF">2019-09-30T01:42:39Z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