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2013年5月黄冈市城区房地产市场分析报告</w:t>
            </w:r>
          </w:p>
        </w:tc>
      </w:tr>
      <w:tr>
        <w:tblPrEx>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发布时间：6/20/2013 2:45:00 PM 浏览：2548</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before="0" w:beforeAutospacing="1" w:after="0" w:afterAutospacing="1" w:line="216" w:lineRule="atLeast"/>
              <w:ind w:left="0" w:right="0"/>
              <w:jc w:val="center"/>
            </w:pPr>
            <w:bookmarkStart w:id="0" w:name="_Toc1513"/>
            <w:r>
              <w:rPr>
                <w:rFonts w:hint="eastAsia" w:ascii="宋体" w:hAnsi="宋体" w:eastAsia="宋体" w:cs="宋体"/>
                <w:b/>
                <w:caps w:val="0"/>
                <w:spacing w:val="0"/>
                <w:kern w:val="0"/>
                <w:sz w:val="24"/>
                <w:szCs w:val="24"/>
                <w:lang w:val="en-US" w:eastAsia="zh-CN" w:bidi="ar"/>
              </w:rPr>
              <w:t>第一部分</w:t>
            </w:r>
            <w:bookmarkEnd w:id="0"/>
            <w:r>
              <w:rPr>
                <w:rFonts w:hint="eastAsia" w:ascii="宋体" w:hAnsi="宋体" w:eastAsia="宋体" w:cs="宋体"/>
                <w:b/>
                <w:caps w:val="0"/>
                <w:spacing w:val="0"/>
                <w:kern w:val="0"/>
                <w:sz w:val="24"/>
                <w:szCs w:val="24"/>
                <w:lang w:val="en-US" w:eastAsia="zh-CN" w:bidi="ar"/>
              </w:rPr>
              <w:t>  楼市政策分析</w:t>
            </w:r>
          </w:p>
          <w:p>
            <w:pPr>
              <w:keepNext w:val="0"/>
              <w:keepLines w:val="0"/>
              <w:widowControl/>
              <w:suppressLineNumbers w:val="0"/>
              <w:spacing w:before="0" w:beforeAutospacing="0" w:after="0" w:afterAutospacing="0" w:line="216" w:lineRule="atLeast"/>
              <w:ind w:left="842" w:right="281" w:hanging="420"/>
              <w:jc w:val="left"/>
            </w:pPr>
            <w:bookmarkStart w:id="1" w:name="_Toc22103"/>
            <w:bookmarkEnd w:id="1"/>
            <w:bookmarkStart w:id="2" w:name="_Toc21000"/>
            <w:r>
              <w:rPr>
                <w:rFonts w:hint="eastAsia" w:ascii="宋体" w:hAnsi="宋体" w:eastAsia="宋体" w:cs="宋体"/>
                <w:b/>
                <w:caps w:val="0"/>
                <w:spacing w:val="0"/>
                <w:kern w:val="0"/>
                <w:sz w:val="24"/>
                <w:szCs w:val="24"/>
                <w:lang w:val="en-US" w:eastAsia="zh-CN" w:bidi="ar"/>
              </w:rPr>
              <w:t>一、</w:t>
            </w:r>
            <w:r>
              <w:rPr>
                <w:rFonts w:ascii="Times New Roman" w:hAnsi="Times New Roman" w:eastAsia="宋体" w:cs="Times New Roman"/>
                <w:b/>
                <w:caps w:val="0"/>
                <w:spacing w:val="0"/>
                <w:kern w:val="0"/>
                <w:sz w:val="14"/>
                <w:szCs w:val="14"/>
                <w:lang w:val="en-US" w:eastAsia="zh-CN" w:bidi="ar"/>
              </w:rPr>
              <w:t>            </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本月楼市政策一览</w:t>
            </w:r>
            <w:bookmarkEnd w:id="2"/>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5月3日  多地落实“国五条”细则被指不“实在”</w:t>
            </w:r>
          </w:p>
          <w:p>
            <w:pPr>
              <w:pStyle w:val="2"/>
              <w:keepNext w:val="0"/>
              <w:keepLines w:val="0"/>
              <w:widowControl/>
              <w:suppressLineNumbers w:val="0"/>
              <w:spacing w:before="0" w:beforeAutospacing="1" w:after="0" w:afterAutospacing="1" w:line="216" w:lineRule="atLeast"/>
              <w:ind w:left="0" w:right="0" w:firstLine="420"/>
            </w:pPr>
            <w:r>
              <w:rPr>
                <w:rFonts w:hint="default" w:ascii="Times New Roman" w:hAnsi="Times New Roman" w:eastAsia="宋体" w:cs="Times New Roman"/>
                <w:caps w:val="0"/>
                <w:spacing w:val="0"/>
                <w:sz w:val="21"/>
                <w:szCs w:val="21"/>
                <w:lang w:val="en-US"/>
              </w:rPr>
              <w:t> </w:t>
            </w:r>
            <w:r>
              <w:rPr>
                <w:rFonts w:hint="eastAsia" w:ascii="宋体" w:hAnsi="宋体" w:eastAsia="宋体" w:cs="宋体"/>
                <w:caps w:val="0"/>
                <w:spacing w:val="0"/>
                <w:sz w:val="21"/>
                <w:szCs w:val="21"/>
              </w:rPr>
              <w:t>“‘</w:t>
            </w:r>
            <w:r>
              <w:rPr>
                <w:rFonts w:hint="eastAsia" w:ascii="宋体" w:hAnsi="宋体" w:eastAsia="宋体" w:cs="宋体"/>
                <w:b/>
                <w:caps w:val="0"/>
                <w:spacing w:val="0"/>
                <w:sz w:val="21"/>
                <w:szCs w:val="21"/>
              </w:rPr>
              <w:t>国五条’出台之后，确实使房地产市场平静下来。但由于其中</w:t>
            </w:r>
            <w:r>
              <w:rPr>
                <w:rFonts w:hint="default" w:ascii="Times New Roman" w:hAnsi="Times New Roman" w:eastAsia="宋体" w:cs="Times New Roman"/>
                <w:b/>
                <w:caps w:val="0"/>
                <w:spacing w:val="0"/>
                <w:sz w:val="21"/>
                <w:szCs w:val="21"/>
                <w:lang w:val="en-US"/>
              </w:rPr>
              <w:t>20%</w:t>
            </w:r>
            <w:r>
              <w:rPr>
                <w:rFonts w:hint="eastAsia" w:ascii="宋体" w:hAnsi="宋体" w:eastAsia="宋体" w:cs="宋体"/>
                <w:b/>
                <w:caps w:val="0"/>
                <w:spacing w:val="0"/>
                <w:sz w:val="21"/>
                <w:szCs w:val="21"/>
              </w:rPr>
              <w:t>差额征税政策、信贷政策等多项重点政策多地并未真正落实，政策效应有待观察。</w:t>
            </w:r>
            <w:r>
              <w:rPr>
                <w:rFonts w:hint="eastAsia" w:ascii="宋体" w:hAnsi="宋体" w:eastAsia="宋体" w:cs="宋体"/>
                <w:caps w:val="0"/>
                <w:spacing w:val="0"/>
                <w:sz w:val="21"/>
                <w:szCs w:val="21"/>
              </w:rPr>
              <w:t>”原住建部政策研究中心副主任王珏林是在日前的</w:t>
            </w:r>
            <w:r>
              <w:rPr>
                <w:rFonts w:hint="default" w:ascii="Times New Roman" w:hAnsi="Times New Roman" w:eastAsia="宋体" w:cs="Times New Roman"/>
                <w:caps w:val="0"/>
                <w:spacing w:val="0"/>
                <w:sz w:val="21"/>
                <w:szCs w:val="21"/>
                <w:lang w:val="en-US"/>
              </w:rPr>
              <w:t>2013</w:t>
            </w:r>
            <w:r>
              <w:rPr>
                <w:rFonts w:hint="eastAsia" w:ascii="宋体" w:hAnsi="宋体" w:eastAsia="宋体" w:cs="宋体"/>
                <w:caps w:val="0"/>
                <w:spacing w:val="0"/>
                <w:sz w:val="21"/>
                <w:szCs w:val="21"/>
              </w:rPr>
              <w:t>中国房地产高峰论坛上做出上述表述。</w:t>
            </w:r>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ii.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5月6日  国务院研究部署2013年深化经济体制改革重点工作</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国务院总理李克强</w:t>
            </w:r>
            <w:r>
              <w:rPr>
                <w:rFonts w:hint="default" w:ascii="Times New Roman" w:hAnsi="Times New Roman" w:eastAsia="宋体" w:cs="Times New Roman"/>
                <w:caps w:val="0"/>
                <w:spacing w:val="0"/>
                <w:sz w:val="21"/>
                <w:szCs w:val="21"/>
                <w:lang w:val="en-US"/>
              </w:rPr>
              <w:t>6</w:t>
            </w:r>
            <w:r>
              <w:rPr>
                <w:rFonts w:hint="eastAsia" w:ascii="宋体" w:hAnsi="宋体" w:eastAsia="宋体" w:cs="宋体"/>
                <w:caps w:val="0"/>
                <w:spacing w:val="0"/>
                <w:sz w:val="21"/>
                <w:szCs w:val="21"/>
              </w:rPr>
              <w:t>日主持召开国务院常务会议，研究部署</w:t>
            </w:r>
            <w:r>
              <w:rPr>
                <w:rFonts w:hint="default" w:ascii="Times New Roman" w:hAnsi="Times New Roman" w:eastAsia="宋体" w:cs="Times New Roman"/>
                <w:caps w:val="0"/>
                <w:spacing w:val="0"/>
                <w:sz w:val="21"/>
                <w:szCs w:val="21"/>
                <w:lang w:val="en-US"/>
              </w:rPr>
              <w:t>2013</w:t>
            </w:r>
            <w:r>
              <w:rPr>
                <w:rFonts w:hint="eastAsia" w:ascii="宋体" w:hAnsi="宋体" w:eastAsia="宋体" w:cs="宋体"/>
                <w:caps w:val="0"/>
                <w:spacing w:val="0"/>
                <w:sz w:val="21"/>
                <w:szCs w:val="21"/>
              </w:rPr>
              <w:t>年深化经济体制改革重点工作，决定再取消和下放一批行政审批事项。</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围绕提高城镇化质量、推进人的城镇化，研究新型城镇化中长期发展规划。出台居住证管理办法，分类推进户籍制度改革，完善相关公共服务及社会保障制度。保护农民合法权益。</w:t>
            </w:r>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iii.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5月7日  国土部启动土地差别化政策 重点调研小城镇</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按照国土资源部的要求，近期各省（区、市）已启动主题为“促进城镇协调发展的土地差别化政策”的调研，</w:t>
            </w:r>
            <w:r>
              <w:rPr>
                <w:rFonts w:hint="eastAsia" w:ascii="宋体" w:hAnsi="宋体" w:eastAsia="宋体" w:cs="宋体"/>
                <w:b/>
                <w:caps w:val="0"/>
                <w:spacing w:val="0"/>
                <w:sz w:val="21"/>
                <w:szCs w:val="21"/>
              </w:rPr>
              <w:t>对象以“重点、特色小城镇”为主，目的在于为促进城镇化协调发展提供决策依据</w:t>
            </w:r>
            <w:r>
              <w:rPr>
                <w:rFonts w:hint="eastAsia" w:ascii="宋体" w:hAnsi="宋体" w:eastAsia="宋体" w:cs="宋体"/>
                <w:caps w:val="0"/>
                <w:spacing w:val="0"/>
                <w:sz w:val="21"/>
                <w:szCs w:val="21"/>
              </w:rPr>
              <w:t>。此举旨在</w:t>
            </w:r>
            <w:r>
              <w:rPr>
                <w:rFonts w:hint="eastAsia" w:ascii="宋体" w:hAnsi="宋体" w:eastAsia="宋体" w:cs="宋体"/>
                <w:b/>
                <w:caps w:val="0"/>
                <w:spacing w:val="0"/>
                <w:sz w:val="21"/>
                <w:szCs w:val="21"/>
              </w:rPr>
              <w:t>规范不同城市、不同产业用地的土地差别化政策将首当其冲，为城镇化“护航”</w:t>
            </w:r>
            <w:r>
              <w:rPr>
                <w:rFonts w:hint="eastAsia" w:ascii="宋体" w:hAnsi="宋体" w:eastAsia="宋体" w:cs="宋体"/>
                <w:caps w:val="0"/>
                <w:spacing w:val="0"/>
                <w:sz w:val="21"/>
                <w:szCs w:val="21"/>
              </w:rPr>
              <w:t>。</w:t>
            </w:r>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iv.</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5月7日  国务院拟健全保障房制度 评:需统一标准确保公平</w:t>
            </w:r>
          </w:p>
          <w:p>
            <w:pPr>
              <w:pStyle w:val="2"/>
              <w:keepNext w:val="0"/>
              <w:keepLines w:val="0"/>
              <w:widowControl/>
              <w:suppressLineNumbers w:val="0"/>
              <w:spacing w:before="0" w:beforeAutospacing="1" w:after="0" w:afterAutospacing="1" w:line="216" w:lineRule="atLeast"/>
              <w:ind w:left="0" w:right="0" w:firstLine="422"/>
            </w:pPr>
            <w:r>
              <w:rPr>
                <w:rFonts w:hint="eastAsia" w:ascii="宋体" w:hAnsi="宋体" w:eastAsia="宋体" w:cs="宋体"/>
                <w:b/>
                <w:caps w:val="0"/>
                <w:spacing w:val="0"/>
                <w:sz w:val="21"/>
                <w:szCs w:val="21"/>
              </w:rPr>
              <w:t>国务院会议决定要健全保障房分配制度，推进公租廉租房并轨</w:t>
            </w:r>
            <w:r>
              <w:rPr>
                <w:rFonts w:hint="eastAsia" w:ascii="宋体" w:hAnsi="宋体" w:eastAsia="宋体" w:cs="宋体"/>
                <w:caps w:val="0"/>
                <w:spacing w:val="0"/>
                <w:sz w:val="21"/>
                <w:szCs w:val="21"/>
              </w:rPr>
              <w:t>。</w:t>
            </w:r>
            <w:r>
              <w:rPr>
                <w:rFonts w:hint="default" w:ascii="Times New Roman" w:hAnsi="Times New Roman" w:eastAsia="宋体" w:cs="Times New Roman"/>
                <w:caps w:val="0"/>
                <w:spacing w:val="0"/>
                <w:sz w:val="21"/>
                <w:szCs w:val="21"/>
                <w:lang w:val="en-US"/>
              </w:rPr>
              <w:t>5</w:t>
            </w:r>
            <w:r>
              <w:rPr>
                <w:rFonts w:hint="eastAsia" w:ascii="宋体" w:hAnsi="宋体" w:eastAsia="宋体" w:cs="宋体"/>
                <w:caps w:val="0"/>
                <w:spacing w:val="0"/>
                <w:sz w:val="21"/>
                <w:szCs w:val="21"/>
              </w:rPr>
              <w:t>月</w:t>
            </w:r>
            <w:r>
              <w:rPr>
                <w:rFonts w:hint="default" w:ascii="Times New Roman" w:hAnsi="Times New Roman" w:eastAsia="宋体" w:cs="Times New Roman"/>
                <w:caps w:val="0"/>
                <w:spacing w:val="0"/>
                <w:sz w:val="21"/>
                <w:szCs w:val="21"/>
                <w:lang w:val="en-US"/>
              </w:rPr>
              <w:t>7</w:t>
            </w:r>
            <w:r>
              <w:rPr>
                <w:rFonts w:hint="eastAsia" w:ascii="宋体" w:hAnsi="宋体" w:eastAsia="宋体" w:cs="宋体"/>
                <w:caps w:val="0"/>
                <w:spacing w:val="0"/>
                <w:sz w:val="21"/>
                <w:szCs w:val="21"/>
              </w:rPr>
              <w:t>日经济之声评论：</w:t>
            </w:r>
            <w:r>
              <w:rPr>
                <w:rFonts w:hint="eastAsia" w:ascii="宋体" w:hAnsi="宋体" w:eastAsia="宋体" w:cs="宋体"/>
                <w:b/>
                <w:caps w:val="0"/>
                <w:spacing w:val="0"/>
                <w:sz w:val="21"/>
                <w:szCs w:val="21"/>
              </w:rPr>
              <w:t>建立严格标准，确保保障房分配公平</w:t>
            </w:r>
            <w:r>
              <w:rPr>
                <w:rFonts w:hint="eastAsia" w:ascii="宋体" w:hAnsi="宋体" w:eastAsia="宋体" w:cs="宋体"/>
                <w:caps w:val="0"/>
                <w:spacing w:val="0"/>
                <w:sz w:val="21"/>
                <w:szCs w:val="21"/>
              </w:rPr>
              <w:t>。</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国务院会议决定，要健全保障房分配制度推进公租廉租房并轨。我国的保障房早就存在，但是保障房的分配主体的界定非常模糊，准入条件差异又很大，收入划分不合理，实际操作难度很大。住房尤其是中低收入者的住房问题在高房价的今天显示出非常突出的矛盾。</w:t>
            </w:r>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v.</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5月7日  湖北清查闲置低效用地</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近日，湖北省国土资源厅与省监察厅联合</w:t>
            </w:r>
            <w:r>
              <w:rPr>
                <w:rFonts w:hint="eastAsia" w:ascii="宋体" w:hAnsi="宋体" w:eastAsia="宋体" w:cs="宋体"/>
                <w:b/>
                <w:caps w:val="0"/>
                <w:spacing w:val="0"/>
                <w:sz w:val="21"/>
                <w:szCs w:val="21"/>
              </w:rPr>
              <w:t>开展闲置低效用地处置工作</w:t>
            </w:r>
            <w:r>
              <w:rPr>
                <w:rFonts w:hint="eastAsia" w:ascii="宋体" w:hAnsi="宋体" w:eastAsia="宋体" w:cs="宋体"/>
                <w:caps w:val="0"/>
                <w:spacing w:val="0"/>
                <w:sz w:val="21"/>
                <w:szCs w:val="21"/>
              </w:rPr>
              <w:t>，</w:t>
            </w:r>
            <w:r>
              <w:rPr>
                <w:rFonts w:hint="eastAsia" w:ascii="宋体" w:hAnsi="宋体" w:eastAsia="宋体" w:cs="宋体"/>
                <w:b/>
                <w:caps w:val="0"/>
                <w:spacing w:val="0"/>
                <w:sz w:val="21"/>
                <w:szCs w:val="21"/>
              </w:rPr>
              <w:t>以加速消化闲置低效用地</w:t>
            </w:r>
            <w:r>
              <w:rPr>
                <w:rFonts w:hint="eastAsia" w:ascii="宋体" w:hAnsi="宋体" w:eastAsia="宋体" w:cs="宋体"/>
                <w:caps w:val="0"/>
                <w:spacing w:val="0"/>
                <w:sz w:val="21"/>
                <w:szCs w:val="21"/>
              </w:rPr>
              <w:t>。</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目前，湖北已将处置任务分解下达到每个市（州），确保今年全省处置闲置低效用地</w:t>
            </w:r>
            <w:r>
              <w:rPr>
                <w:rFonts w:hint="default" w:ascii="Times New Roman" w:hAnsi="Times New Roman" w:eastAsia="宋体" w:cs="Times New Roman"/>
                <w:caps w:val="0"/>
                <w:spacing w:val="0"/>
                <w:sz w:val="21"/>
                <w:szCs w:val="21"/>
                <w:lang w:val="en-US"/>
              </w:rPr>
              <w:t>3</w:t>
            </w:r>
            <w:r>
              <w:rPr>
                <w:rFonts w:hint="eastAsia" w:ascii="宋体" w:hAnsi="宋体" w:eastAsia="宋体" w:cs="宋体"/>
                <w:caps w:val="0"/>
                <w:spacing w:val="0"/>
                <w:sz w:val="21"/>
                <w:szCs w:val="21"/>
              </w:rPr>
              <w:t>万亩以上、“十二五”期间基本完成</w:t>
            </w:r>
            <w:r>
              <w:rPr>
                <w:rFonts w:hint="default" w:ascii="Times New Roman" w:hAnsi="Times New Roman" w:eastAsia="宋体" w:cs="Times New Roman"/>
                <w:caps w:val="0"/>
                <w:spacing w:val="0"/>
                <w:sz w:val="21"/>
                <w:szCs w:val="21"/>
                <w:lang w:val="en-US"/>
              </w:rPr>
              <w:t>10</w:t>
            </w:r>
            <w:r>
              <w:rPr>
                <w:rFonts w:hint="eastAsia" w:ascii="宋体" w:hAnsi="宋体" w:eastAsia="宋体" w:cs="宋体"/>
                <w:caps w:val="0"/>
                <w:spacing w:val="0"/>
                <w:sz w:val="21"/>
                <w:szCs w:val="21"/>
              </w:rPr>
              <w:t>万亩处置任务。</w:t>
            </w:r>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vi.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5月7日  调控难度增大，政策期待长效化</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日前，由中国社会科学院城市发展与环境研究所、社会科学文献出版社联合主办的《房地产蓝皮书</w:t>
            </w:r>
            <w:r>
              <w:rPr>
                <w:rFonts w:hint="default" w:ascii="Times New Roman" w:hAnsi="Times New Roman" w:eastAsia="宋体" w:cs="Times New Roman"/>
                <w:caps w:val="0"/>
                <w:spacing w:val="0"/>
                <w:sz w:val="21"/>
                <w:szCs w:val="21"/>
                <w:lang w:val="en-US"/>
              </w:rPr>
              <w:t>No.10</w:t>
            </w:r>
            <w:r>
              <w:rPr>
                <w:rFonts w:hint="eastAsia" w:ascii="宋体" w:hAnsi="宋体" w:eastAsia="宋体" w:cs="宋体"/>
                <w:caps w:val="0"/>
                <w:spacing w:val="0"/>
                <w:sz w:val="21"/>
                <w:szCs w:val="21"/>
              </w:rPr>
              <w:t>》新闻发布会在京举行，与会专家总结了</w:t>
            </w:r>
            <w:r>
              <w:rPr>
                <w:rFonts w:hint="default" w:ascii="Times New Roman" w:hAnsi="Times New Roman" w:eastAsia="宋体" w:cs="Times New Roman"/>
                <w:caps w:val="0"/>
                <w:spacing w:val="0"/>
                <w:sz w:val="21"/>
                <w:szCs w:val="21"/>
                <w:lang w:val="en-US"/>
              </w:rPr>
              <w:t>2012 </w:t>
            </w:r>
            <w:r>
              <w:rPr>
                <w:rFonts w:hint="eastAsia" w:ascii="宋体" w:hAnsi="宋体" w:eastAsia="宋体" w:cs="宋体"/>
                <w:caps w:val="0"/>
                <w:spacing w:val="0"/>
                <w:sz w:val="21"/>
                <w:szCs w:val="21"/>
              </w:rPr>
              <w:t>年中国房地产市场发展情况，展望了</w:t>
            </w:r>
            <w:r>
              <w:rPr>
                <w:rFonts w:hint="default" w:ascii="Times New Roman" w:hAnsi="Times New Roman" w:eastAsia="宋体" w:cs="Times New Roman"/>
                <w:caps w:val="0"/>
                <w:spacing w:val="0"/>
                <w:sz w:val="21"/>
                <w:szCs w:val="21"/>
                <w:lang w:val="en-US"/>
              </w:rPr>
              <w:t>2013</w:t>
            </w:r>
            <w:r>
              <w:rPr>
                <w:rFonts w:hint="eastAsia" w:ascii="宋体" w:hAnsi="宋体" w:eastAsia="宋体" w:cs="宋体"/>
                <w:caps w:val="0"/>
                <w:spacing w:val="0"/>
                <w:sz w:val="21"/>
                <w:szCs w:val="21"/>
              </w:rPr>
              <w:t>年中国房地产发展形势。</w:t>
            </w:r>
          </w:p>
          <w:p>
            <w:pPr>
              <w:pStyle w:val="2"/>
              <w:keepNext w:val="0"/>
              <w:keepLines w:val="0"/>
              <w:widowControl/>
              <w:suppressLineNumbers w:val="0"/>
              <w:spacing w:before="0" w:beforeAutospacing="1" w:after="0" w:afterAutospacing="1" w:line="216" w:lineRule="atLeast"/>
              <w:ind w:left="0" w:right="0" w:firstLine="420"/>
            </w:pPr>
            <w:r>
              <w:rPr>
                <w:rFonts w:hint="eastAsia" w:ascii="宋体" w:hAnsi="宋体" w:eastAsia="宋体" w:cs="宋体"/>
                <w:caps w:val="0"/>
                <w:spacing w:val="0"/>
                <w:sz w:val="21"/>
                <w:szCs w:val="21"/>
              </w:rPr>
              <w:t>房地产市场供需总量和结构矛盾积累多年，房地产蓝皮书认为</w:t>
            </w:r>
            <w:r>
              <w:rPr>
                <w:rFonts w:hint="default" w:ascii="Times New Roman" w:hAnsi="Times New Roman" w:eastAsia="宋体" w:cs="Times New Roman"/>
                <w:caps w:val="0"/>
                <w:spacing w:val="0"/>
                <w:sz w:val="21"/>
                <w:szCs w:val="21"/>
                <w:lang w:val="en-US"/>
              </w:rPr>
              <w:t>2013 </w:t>
            </w:r>
            <w:r>
              <w:rPr>
                <w:rFonts w:hint="eastAsia" w:ascii="宋体" w:hAnsi="宋体" w:eastAsia="宋体" w:cs="宋体"/>
                <w:caps w:val="0"/>
                <w:spacing w:val="0"/>
                <w:sz w:val="21"/>
                <w:szCs w:val="21"/>
              </w:rPr>
              <w:t>年</w:t>
            </w:r>
            <w:r>
              <w:rPr>
                <w:rFonts w:hint="eastAsia" w:ascii="宋体" w:hAnsi="宋体" w:eastAsia="宋体" w:cs="宋体"/>
                <w:b/>
                <w:caps w:val="0"/>
                <w:spacing w:val="0"/>
                <w:sz w:val="21"/>
                <w:szCs w:val="21"/>
              </w:rPr>
              <w:t>调控难度进一步增大</w:t>
            </w:r>
            <w:r>
              <w:rPr>
                <w:rFonts w:hint="eastAsia" w:ascii="宋体" w:hAnsi="宋体" w:eastAsia="宋体" w:cs="宋体"/>
                <w:caps w:val="0"/>
                <w:spacing w:val="0"/>
                <w:sz w:val="21"/>
                <w:szCs w:val="21"/>
              </w:rPr>
              <w:t>。同时，党的十八大后国家经济政策向促进城镇化和改善民生倾斜，预期房地产调控方向也将围绕这两大主题展开。</w:t>
            </w:r>
            <w:r>
              <w:rPr>
                <w:rFonts w:hint="eastAsia" w:ascii="宋体" w:hAnsi="宋体" w:eastAsia="宋体" w:cs="宋体"/>
                <w:b/>
                <w:caps w:val="0"/>
                <w:spacing w:val="0"/>
                <w:sz w:val="21"/>
                <w:szCs w:val="21"/>
              </w:rPr>
              <w:t>存量住房交易所得税、住房持有税、限购限贷、住房保障等房地产政策还可能在调控实践中进一步完善</w:t>
            </w:r>
            <w:r>
              <w:rPr>
                <w:rFonts w:hint="eastAsia" w:ascii="宋体" w:hAnsi="宋体" w:eastAsia="宋体" w:cs="宋体"/>
                <w:caps w:val="0"/>
                <w:spacing w:val="0"/>
                <w:sz w:val="21"/>
                <w:szCs w:val="21"/>
              </w:rPr>
              <w:t>。</w:t>
            </w:r>
          </w:p>
          <w:p>
            <w:pPr>
              <w:keepNext w:val="0"/>
              <w:keepLines w:val="0"/>
              <w:widowControl/>
              <w:suppressLineNumbers w:val="0"/>
              <w:spacing w:before="0" w:beforeAutospacing="1" w:after="0" w:afterAutospacing="1" w:line="24" w:lineRule="atLeast"/>
              <w:ind w:left="735" w:right="0" w:hanging="735"/>
              <w:jc w:val="left"/>
            </w:pP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vii.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5月17日  中国预计于2014年6月底前出台不动产登记条例</w:t>
            </w:r>
          </w:p>
          <w:p>
            <w:pPr>
              <w:pStyle w:val="2"/>
              <w:keepNext w:val="0"/>
              <w:keepLines w:val="0"/>
              <w:widowControl/>
              <w:suppressLineNumbers w:val="0"/>
              <w:spacing w:before="0" w:beforeAutospacing="1" w:after="0" w:afterAutospacing="1" w:line="216" w:lineRule="atLeast"/>
              <w:ind w:left="0" w:right="0" w:firstLine="422"/>
            </w:pPr>
            <w:r>
              <w:rPr>
                <w:rFonts w:hint="eastAsia" w:ascii="宋体" w:hAnsi="宋体" w:eastAsia="宋体" w:cs="宋体"/>
                <w:b/>
                <w:caps w:val="0"/>
                <w:spacing w:val="0"/>
                <w:sz w:val="21"/>
                <w:szCs w:val="21"/>
              </w:rPr>
              <w:t>中国将通过加快实施不动产统一登记制度，预计于明年</w:t>
            </w:r>
            <w:r>
              <w:rPr>
                <w:rFonts w:hint="default" w:ascii="Times New Roman" w:hAnsi="Times New Roman" w:eastAsia="宋体" w:cs="Times New Roman"/>
                <w:b/>
                <w:caps w:val="0"/>
                <w:spacing w:val="0"/>
                <w:sz w:val="21"/>
                <w:szCs w:val="21"/>
                <w:lang w:val="en-US"/>
              </w:rPr>
              <w:t>6</w:t>
            </w:r>
            <w:r>
              <w:rPr>
                <w:rFonts w:hint="eastAsia" w:ascii="宋体" w:hAnsi="宋体" w:eastAsia="宋体" w:cs="宋体"/>
                <w:b/>
                <w:caps w:val="0"/>
                <w:spacing w:val="0"/>
                <w:sz w:val="21"/>
                <w:szCs w:val="21"/>
              </w:rPr>
              <w:t>月底前出台条例，以更好地落实物权法，保障不动产交易安全，保护不动产权利人合法财产权</w:t>
            </w:r>
            <w:r>
              <w:rPr>
                <w:rFonts w:hint="eastAsia" w:ascii="宋体" w:hAnsi="宋体" w:eastAsia="宋体" w:cs="宋体"/>
                <w:caps w:val="0"/>
                <w:spacing w:val="0"/>
                <w:sz w:val="21"/>
                <w:szCs w:val="21"/>
              </w:rPr>
              <w:t>。</w:t>
            </w:r>
          </w:p>
          <w:p>
            <w:pPr>
              <w:keepNext w:val="0"/>
              <w:keepLines w:val="0"/>
              <w:widowControl/>
              <w:suppressLineNumbers w:val="0"/>
              <w:spacing w:before="0" w:beforeAutospacing="1" w:after="0" w:afterAutospacing="1" w:line="24" w:lineRule="atLeast"/>
              <w:ind w:left="735" w:right="0" w:hanging="735"/>
              <w:jc w:val="left"/>
            </w:pPr>
            <w:r>
              <w:rPr>
                <w:rFonts w:hint="eastAsia" w:ascii="宋体" w:hAnsi="宋体" w:eastAsia="宋体" w:cs="宋体"/>
                <w:b/>
                <w:caps w:val="0"/>
                <w:spacing w:val="0"/>
                <w:kern w:val="0"/>
                <w:sz w:val="24"/>
                <w:szCs w:val="24"/>
                <w:lang w:val="en-US" w:eastAsia="zh-CN" w:bidi="ar"/>
              </w:rPr>
              <w:t>viii.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4"/>
                <w:szCs w:val="24"/>
                <w:u w:val="single"/>
                <w:lang w:val="en-US" w:eastAsia="zh-CN" w:bidi="ar"/>
              </w:rPr>
              <w:t>5月29日  向增量开刀 房产税试点扩围思路确定</w:t>
            </w:r>
          </w:p>
          <w:p>
            <w:pPr>
              <w:pStyle w:val="2"/>
              <w:keepNext w:val="0"/>
              <w:keepLines w:val="0"/>
              <w:widowControl/>
              <w:suppressLineNumbers w:val="0"/>
              <w:spacing w:before="0" w:beforeAutospacing="1" w:after="0" w:afterAutospacing="1" w:line="216" w:lineRule="atLeast"/>
              <w:ind w:left="0" w:right="0" w:firstLine="422"/>
            </w:pPr>
            <w:r>
              <w:rPr>
                <w:rFonts w:hint="eastAsia" w:ascii="宋体" w:hAnsi="宋体" w:eastAsia="宋体" w:cs="宋体"/>
                <w:b/>
                <w:caps w:val="0"/>
                <w:spacing w:val="0"/>
                <w:sz w:val="21"/>
                <w:szCs w:val="21"/>
              </w:rPr>
              <w:t>个人住房房产税改革试点（简称“房产税试点”）扩围已确定“向增量开刀</w:t>
            </w:r>
            <w:r>
              <w:rPr>
                <w:rFonts w:hint="eastAsia" w:ascii="宋体" w:hAnsi="宋体" w:eastAsia="宋体" w:cs="宋体"/>
                <w:b/>
                <w:caps w:val="0"/>
                <w:spacing w:val="0"/>
                <w:sz w:val="21"/>
                <w:szCs w:val="21"/>
                <w:lang w:val="en-US"/>
              </w:rPr>
              <w:t>”</w:t>
            </w:r>
            <w:r>
              <w:rPr>
                <w:rFonts w:hint="eastAsia" w:ascii="宋体" w:hAnsi="宋体" w:eastAsia="宋体" w:cs="宋体"/>
                <w:caps w:val="0"/>
                <w:spacing w:val="0"/>
                <w:sz w:val="21"/>
                <w:szCs w:val="21"/>
              </w:rPr>
              <w:t>的思路，下半年将是试点扩围的关键时点。继此前试点的上海和重庆之后，新一轮试点可能在较大范围内铺开，杭州很可能在扩围之列。</w:t>
            </w:r>
          </w:p>
          <w:p>
            <w:pPr>
              <w:keepNext w:val="0"/>
              <w:keepLines w:val="0"/>
              <w:widowControl/>
              <w:suppressLineNumbers w:val="0"/>
              <w:spacing w:before="0" w:beforeAutospacing="1" w:after="0" w:afterAutospacing="1" w:line="288" w:lineRule="atLeast"/>
              <w:ind w:left="0" w:right="281" w:firstLine="422"/>
              <w:jc w:val="left"/>
            </w:pPr>
            <w:r>
              <w:rPr>
                <w:rFonts w:hint="eastAsia" w:ascii="宋体" w:hAnsi="宋体" w:eastAsia="宋体" w:cs="宋体"/>
                <w:b/>
                <w:caps w:val="0"/>
                <w:spacing w:val="0"/>
                <w:kern w:val="0"/>
                <w:sz w:val="24"/>
                <w:szCs w:val="24"/>
                <w:lang w:val="en-US" w:eastAsia="zh-CN" w:bidi="ar"/>
              </w:rPr>
              <w:t>政策解读：楼市调控政策重估在即 行政手段或择机退出</w:t>
            </w:r>
          </w:p>
          <w:p>
            <w:pPr>
              <w:keepNext w:val="0"/>
              <w:keepLines w:val="0"/>
              <w:widowControl/>
              <w:suppressLineNumbers w:val="0"/>
              <w:spacing w:before="0" w:beforeAutospacing="1" w:after="0" w:afterAutospacing="1" w:line="288" w:lineRule="atLeast"/>
              <w:ind w:left="0" w:right="281" w:firstLine="422"/>
              <w:jc w:val="left"/>
            </w:pPr>
            <w:r>
              <w:rPr>
                <w:rFonts w:hint="eastAsia" w:ascii="宋体" w:hAnsi="宋体" w:eastAsia="宋体" w:cs="宋体"/>
                <w:b/>
                <w:caps w:val="0"/>
                <w:spacing w:val="0"/>
                <w:kern w:val="0"/>
                <w:sz w:val="24"/>
                <w:szCs w:val="24"/>
                <w:lang w:val="en-US" w:eastAsia="zh-CN" w:bidi="ar"/>
              </w:rPr>
              <w:t>针对现行的房地产调控政策效果，有关方面正在研究和观察。一段时间后，若调控效果无明显起色，不排除调整政策的可能。</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4"/>
                <w:szCs w:val="24"/>
                <w:lang w:val="en-US" w:eastAsia="zh-CN" w:bidi="ar"/>
              </w:rPr>
              <w:t>“新国五条”出台至今已近两月，市场成交量出现大幅波动，不少城市住房供应量减少，房价上涨压力犹存，恐使调控落入“越调越涨”的怪圈。决策层正在研究评估，拟经过一段时间观察后，决定是否对政策进行调整。</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4"/>
                <w:szCs w:val="24"/>
                <w:lang w:val="en-US" w:eastAsia="zh-CN" w:bidi="ar"/>
              </w:rPr>
              <w:t>在推进城镇化将继续释放大量住房需求的背景下，行政色彩浓厚的调控手段恐不利于房地产市场稳定，进而影响城镇化进程和经济走势，“去行政化”将成为未来调控方向。</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spacing w:val="0"/>
                <w:kern w:val="0"/>
                <w:sz w:val="24"/>
                <w:szCs w:val="24"/>
                <w:lang w:val="en-US" w:eastAsia="zh-CN" w:bidi="ar"/>
              </w:rPr>
              <w:t>房产税试点短期内或小范围扩围，主要针对增量房屋征收。差别化信贷和税收政策未来将成为常态。对于行政色彩浓厚的住房限购政策，可能伴随土地、户籍等制度的改革而逐步放开，但短期内仍将存在。未来一段时间，房地产市场可能保持温和复苏走势，但从成交量、景气指数等指标来看，市场仍会处于阶段低位。</w:t>
            </w:r>
          </w:p>
          <w:p>
            <w:pPr>
              <w:pStyle w:val="2"/>
              <w:keepNext w:val="0"/>
              <w:keepLines w:val="0"/>
              <w:widowControl/>
              <w:suppressLineNumbers w:val="0"/>
              <w:spacing w:line="24" w:lineRule="atLeast"/>
            </w:pPr>
            <w:r>
              <w:rPr>
                <w:rFonts w:hint="eastAsia" w:ascii="宋体" w:hAnsi="宋体" w:eastAsia="宋体" w:cs="宋体"/>
                <w:caps w:val="0"/>
                <w:spacing w:val="0"/>
                <w:sz w:val="14"/>
                <w:szCs w:val="14"/>
              </w:rPr>
              <w:t> </w:t>
            </w:r>
          </w:p>
          <w:p>
            <w:pPr>
              <w:keepNext w:val="0"/>
              <w:keepLines w:val="0"/>
              <w:widowControl/>
              <w:suppressLineNumbers w:val="0"/>
              <w:spacing w:before="0" w:beforeAutospacing="1" w:after="0" w:afterAutospacing="1" w:line="288" w:lineRule="atLeast"/>
              <w:ind w:left="971" w:right="0" w:firstLine="200"/>
              <w:jc w:val="left"/>
            </w:pPr>
            <w:r>
              <w:rPr>
                <w:rFonts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成交面积：成交量环比六成以上下跌，成交价格稳中飙升</w:t>
            </w:r>
          </w:p>
          <w:p>
            <w:pPr>
              <w:pStyle w:val="2"/>
              <w:keepNext w:val="0"/>
              <w:keepLines w:val="0"/>
              <w:widowControl/>
              <w:suppressLineNumbers w:val="0"/>
              <w:spacing w:before="0" w:beforeAutospacing="1" w:after="0" w:afterAutospacing="1" w:line="288" w:lineRule="atLeast"/>
              <w:ind w:left="0" w:right="0" w:firstLine="422"/>
              <w:jc w:val="both"/>
            </w:pP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月重点监测城市库存去化明显高于</w:t>
            </w:r>
            <w:r>
              <w:rPr>
                <w:rFonts w:hint="default" w:ascii="Times New Roman" w:hAnsi="Times New Roman" w:eastAsia="宋体" w:cs="Times New Roman"/>
                <w:b/>
                <w:caps w:val="0"/>
                <w:spacing w:val="0"/>
                <w:sz w:val="21"/>
                <w:szCs w:val="21"/>
                <w:lang w:val="en-US"/>
              </w:rPr>
              <w:t>4</w:t>
            </w:r>
            <w:r>
              <w:rPr>
                <w:rFonts w:hint="eastAsia" w:ascii="宋体" w:hAnsi="宋体" w:eastAsia="宋体" w:cs="宋体"/>
                <w:b/>
                <w:caps w:val="0"/>
                <w:spacing w:val="0"/>
                <w:sz w:val="21"/>
                <w:szCs w:val="21"/>
              </w:rPr>
              <w:t>月。</w:t>
            </w:r>
            <w:r>
              <w:rPr>
                <w:rFonts w:hint="eastAsia" w:ascii="宋体" w:hAnsi="宋体" w:eastAsia="宋体" w:cs="宋体"/>
                <w:caps w:val="0"/>
                <w:spacing w:val="0"/>
                <w:sz w:val="21"/>
                <w:szCs w:val="21"/>
              </w:rPr>
              <w:t>本月监测的</w:t>
            </w:r>
            <w:r>
              <w:rPr>
                <w:rFonts w:hint="default" w:ascii="Times New Roman" w:hAnsi="Times New Roman" w:eastAsia="宋体" w:cs="Times New Roman"/>
                <w:caps w:val="0"/>
                <w:spacing w:val="0"/>
                <w:sz w:val="21"/>
                <w:szCs w:val="21"/>
                <w:lang w:val="en-US"/>
              </w:rPr>
              <w:t>44</w:t>
            </w:r>
            <w:r>
              <w:rPr>
                <w:rFonts w:hint="eastAsia" w:ascii="宋体" w:hAnsi="宋体" w:eastAsia="宋体" w:cs="宋体"/>
                <w:caps w:val="0"/>
                <w:spacing w:val="0"/>
                <w:sz w:val="21"/>
                <w:szCs w:val="21"/>
              </w:rPr>
              <w:t>个城市中，超过六成城市</w:t>
            </w:r>
            <w:r>
              <w:rPr>
                <w:rFonts w:hint="eastAsia" w:ascii="宋体" w:hAnsi="宋体" w:eastAsia="宋体" w:cs="宋体"/>
                <w:b/>
                <w:caps w:val="0"/>
                <w:spacing w:val="0"/>
                <w:sz w:val="21"/>
                <w:szCs w:val="21"/>
              </w:rPr>
              <w:t>成交量环比下降，总体而言，</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月楼市成交出现一二线城市成交下降，三四线城市成交上涨的趋势；本月成交均价略有上升。</w:t>
            </w:r>
          </w:p>
          <w:p>
            <w:pPr>
              <w:keepNext w:val="0"/>
              <w:keepLines w:val="0"/>
              <w:widowControl/>
              <w:suppressLineNumbers w:val="0"/>
              <w:spacing w:before="0" w:beforeAutospacing="1" w:after="0" w:afterAutospacing="1" w:line="288" w:lineRule="atLeast"/>
              <w:ind w:left="971" w:right="0" w:firstLine="200"/>
              <w:jc w:val="left"/>
            </w:pPr>
            <w:r>
              <w:rPr>
                <w:rFonts w:hint="default"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销售均价：5月百城住宅均价环比上涨0.81%，同比上涨6.90%</w:t>
            </w:r>
          </w:p>
          <w:p>
            <w:pPr>
              <w:pStyle w:val="2"/>
              <w:keepNext w:val="0"/>
              <w:keepLines w:val="0"/>
              <w:widowControl/>
              <w:suppressLineNumbers w:val="0"/>
              <w:spacing w:before="0" w:beforeAutospacing="1" w:after="0" w:afterAutospacing="1" w:line="288" w:lineRule="atLeast"/>
              <w:ind w:left="0" w:right="0" w:firstLine="420"/>
              <w:jc w:val="both"/>
            </w:pPr>
            <w:r>
              <w:rPr>
                <w:rFonts w:hint="eastAsia" w:ascii="宋体" w:hAnsi="宋体" w:eastAsia="宋体" w:cs="宋体"/>
                <w:caps w:val="0"/>
                <w:spacing w:val="0"/>
                <w:sz w:val="21"/>
                <w:szCs w:val="21"/>
              </w:rPr>
              <w:t>本月中国指数研究院对</w:t>
            </w:r>
            <w:r>
              <w:rPr>
                <w:rFonts w:hint="default" w:ascii="Times New Roman" w:hAnsi="Times New Roman" w:eastAsia="宋体" w:cs="Times New Roman"/>
                <w:caps w:val="0"/>
                <w:spacing w:val="0"/>
                <w:sz w:val="21"/>
                <w:szCs w:val="21"/>
                <w:lang w:val="en-US"/>
              </w:rPr>
              <w:t>100</w:t>
            </w:r>
            <w:r>
              <w:rPr>
                <w:rFonts w:hint="eastAsia" w:ascii="宋体" w:hAnsi="宋体" w:eastAsia="宋体" w:cs="宋体"/>
                <w:caps w:val="0"/>
                <w:spacing w:val="0"/>
                <w:sz w:val="21"/>
                <w:szCs w:val="21"/>
              </w:rPr>
              <w:t>个城市的全样本调查数据显示：全国</w:t>
            </w:r>
            <w:r>
              <w:rPr>
                <w:rFonts w:hint="default" w:ascii="Times New Roman" w:hAnsi="Times New Roman" w:eastAsia="宋体" w:cs="Times New Roman"/>
                <w:caps w:val="0"/>
                <w:spacing w:val="0"/>
                <w:sz w:val="21"/>
                <w:szCs w:val="21"/>
                <w:lang w:val="en-US"/>
              </w:rPr>
              <w:t>100</w:t>
            </w:r>
            <w:r>
              <w:rPr>
                <w:rFonts w:hint="eastAsia" w:ascii="宋体" w:hAnsi="宋体" w:eastAsia="宋体" w:cs="宋体"/>
                <w:caps w:val="0"/>
                <w:spacing w:val="0"/>
                <w:sz w:val="21"/>
                <w:szCs w:val="21"/>
              </w:rPr>
              <w:t>个城市住宅均价为</w:t>
            </w:r>
            <w:r>
              <w:rPr>
                <w:rFonts w:hint="default" w:ascii="Times New Roman" w:hAnsi="Times New Roman" w:eastAsia="宋体" w:cs="Times New Roman"/>
                <w:caps w:val="0"/>
                <w:spacing w:val="0"/>
                <w:sz w:val="21"/>
                <w:szCs w:val="21"/>
                <w:lang w:val="en-US"/>
              </w:rPr>
              <w:t>10180</w:t>
            </w:r>
            <w:r>
              <w:rPr>
                <w:rFonts w:hint="eastAsia" w:ascii="宋体" w:hAnsi="宋体" w:eastAsia="宋体" w:cs="宋体"/>
                <w:caps w:val="0"/>
                <w:spacing w:val="0"/>
                <w:sz w:val="21"/>
                <w:szCs w:val="21"/>
              </w:rPr>
              <w:t>元</w:t>
            </w:r>
            <w:r>
              <w:rPr>
                <w:rFonts w:hint="default" w:ascii="Times New Roman" w:hAnsi="Times New Roman" w:eastAsia="宋体" w:cs="Times New Roman"/>
                <w:caps w:val="0"/>
                <w:spacing w:val="0"/>
                <w:sz w:val="21"/>
                <w:szCs w:val="21"/>
                <w:lang w:val="en-US"/>
              </w:rPr>
              <w:t>/</w:t>
            </w:r>
            <w:r>
              <w:rPr>
                <w:rFonts w:hint="eastAsia" w:ascii="宋体" w:hAnsi="宋体" w:eastAsia="宋体" w:cs="宋体"/>
                <w:caps w:val="0"/>
                <w:spacing w:val="0"/>
                <w:sz w:val="21"/>
                <w:szCs w:val="21"/>
              </w:rPr>
              <w:t>㎡，环比</w:t>
            </w:r>
            <w:r>
              <w:rPr>
                <w:rFonts w:hint="default" w:ascii="Times New Roman" w:hAnsi="Times New Roman" w:eastAsia="宋体" w:cs="Times New Roman"/>
                <w:caps w:val="0"/>
                <w:spacing w:val="0"/>
                <w:sz w:val="21"/>
                <w:szCs w:val="21"/>
                <w:lang w:val="en-US"/>
              </w:rPr>
              <w:t>4</w:t>
            </w:r>
            <w:r>
              <w:rPr>
                <w:rFonts w:hint="eastAsia" w:ascii="宋体" w:hAnsi="宋体" w:eastAsia="宋体" w:cs="宋体"/>
                <w:caps w:val="0"/>
                <w:spacing w:val="0"/>
                <w:sz w:val="21"/>
                <w:szCs w:val="21"/>
              </w:rPr>
              <w:t>月上涨</w:t>
            </w:r>
            <w:r>
              <w:rPr>
                <w:rFonts w:hint="default" w:ascii="Times New Roman" w:hAnsi="Times New Roman" w:eastAsia="宋体" w:cs="Times New Roman"/>
                <w:caps w:val="0"/>
                <w:spacing w:val="0"/>
                <w:sz w:val="21"/>
                <w:szCs w:val="21"/>
                <w:lang w:val="en-US"/>
              </w:rPr>
              <w:t>0.81%</w:t>
            </w:r>
            <w:r>
              <w:rPr>
                <w:rFonts w:hint="eastAsia" w:ascii="宋体" w:hAnsi="宋体" w:eastAsia="宋体" w:cs="宋体"/>
                <w:caps w:val="0"/>
                <w:spacing w:val="0"/>
                <w:sz w:val="21"/>
                <w:szCs w:val="21"/>
              </w:rPr>
              <w:t>，自</w:t>
            </w:r>
            <w:r>
              <w:rPr>
                <w:rFonts w:hint="default" w:ascii="Times New Roman" w:hAnsi="Times New Roman" w:eastAsia="宋体" w:cs="Times New Roman"/>
                <w:caps w:val="0"/>
                <w:spacing w:val="0"/>
                <w:sz w:val="21"/>
                <w:szCs w:val="21"/>
                <w:lang w:val="en-US"/>
              </w:rPr>
              <w:t>2012</w:t>
            </w:r>
            <w:r>
              <w:rPr>
                <w:rFonts w:hint="eastAsia" w:ascii="宋体" w:hAnsi="宋体" w:eastAsia="宋体" w:cs="宋体"/>
                <w:caps w:val="0"/>
                <w:spacing w:val="0"/>
                <w:sz w:val="21"/>
                <w:szCs w:val="21"/>
              </w:rPr>
              <w:t>年</w:t>
            </w:r>
            <w:r>
              <w:rPr>
                <w:rFonts w:hint="default" w:ascii="Times New Roman" w:hAnsi="Times New Roman" w:eastAsia="宋体" w:cs="Times New Roman"/>
                <w:caps w:val="0"/>
                <w:spacing w:val="0"/>
                <w:sz w:val="21"/>
                <w:szCs w:val="21"/>
                <w:lang w:val="en-US"/>
              </w:rPr>
              <w:t>6</w:t>
            </w:r>
            <w:r>
              <w:rPr>
                <w:rFonts w:hint="eastAsia" w:ascii="宋体" w:hAnsi="宋体" w:eastAsia="宋体" w:cs="宋体"/>
                <w:caps w:val="0"/>
                <w:spacing w:val="0"/>
                <w:sz w:val="21"/>
                <w:szCs w:val="21"/>
              </w:rPr>
              <w:t>月连续第</w:t>
            </w:r>
            <w:r>
              <w:rPr>
                <w:rFonts w:hint="default" w:ascii="Times New Roman" w:hAnsi="Times New Roman" w:eastAsia="宋体" w:cs="Times New Roman"/>
                <w:caps w:val="0"/>
                <w:spacing w:val="0"/>
                <w:sz w:val="21"/>
                <w:szCs w:val="21"/>
                <w:lang w:val="en-US"/>
              </w:rPr>
              <w:t>12</w:t>
            </w:r>
            <w:r>
              <w:rPr>
                <w:rFonts w:hint="eastAsia" w:ascii="宋体" w:hAnsi="宋体" w:eastAsia="宋体" w:cs="宋体"/>
                <w:caps w:val="0"/>
                <w:spacing w:val="0"/>
                <w:sz w:val="21"/>
                <w:szCs w:val="21"/>
              </w:rPr>
              <w:t>个月环比上涨，涨幅比上月缩小</w:t>
            </w:r>
            <w:r>
              <w:rPr>
                <w:rFonts w:hint="default" w:ascii="Times New Roman" w:hAnsi="Times New Roman" w:eastAsia="宋体" w:cs="Times New Roman"/>
                <w:caps w:val="0"/>
                <w:spacing w:val="0"/>
                <w:sz w:val="21"/>
                <w:szCs w:val="21"/>
                <w:lang w:val="en-US"/>
              </w:rPr>
              <w:t>0.19</w:t>
            </w:r>
            <w:r>
              <w:rPr>
                <w:rFonts w:hint="eastAsia" w:ascii="宋体" w:hAnsi="宋体" w:eastAsia="宋体" w:cs="宋体"/>
                <w:caps w:val="0"/>
                <w:spacing w:val="0"/>
                <w:sz w:val="21"/>
                <w:szCs w:val="21"/>
              </w:rPr>
              <w:t>个百分点，其中</w:t>
            </w:r>
            <w:r>
              <w:rPr>
                <w:rFonts w:hint="default" w:ascii="Times New Roman" w:hAnsi="Times New Roman" w:eastAsia="宋体" w:cs="Times New Roman"/>
                <w:caps w:val="0"/>
                <w:spacing w:val="0"/>
                <w:sz w:val="21"/>
                <w:szCs w:val="21"/>
                <w:lang w:val="en-US"/>
              </w:rPr>
              <w:t>77</w:t>
            </w:r>
            <w:r>
              <w:rPr>
                <w:rFonts w:hint="eastAsia" w:ascii="宋体" w:hAnsi="宋体" w:eastAsia="宋体" w:cs="宋体"/>
                <w:caps w:val="0"/>
                <w:spacing w:val="0"/>
                <w:sz w:val="21"/>
                <w:szCs w:val="21"/>
              </w:rPr>
              <w:t>个城市环比上涨，</w:t>
            </w:r>
            <w:r>
              <w:rPr>
                <w:rFonts w:hint="default" w:ascii="Times New Roman" w:hAnsi="Times New Roman" w:eastAsia="宋体" w:cs="Times New Roman"/>
                <w:caps w:val="0"/>
                <w:spacing w:val="0"/>
                <w:sz w:val="21"/>
                <w:szCs w:val="21"/>
                <w:lang w:val="en-US"/>
              </w:rPr>
              <w:t>22</w:t>
            </w:r>
            <w:r>
              <w:rPr>
                <w:rFonts w:hint="eastAsia" w:ascii="宋体" w:hAnsi="宋体" w:eastAsia="宋体" w:cs="宋体"/>
                <w:caps w:val="0"/>
                <w:spacing w:val="0"/>
                <w:sz w:val="21"/>
                <w:szCs w:val="21"/>
              </w:rPr>
              <w:t>个城市环比下跌，</w:t>
            </w:r>
            <w:r>
              <w:rPr>
                <w:rFonts w:hint="default" w:ascii="Times New Roman" w:hAnsi="Times New Roman" w:eastAsia="宋体" w:cs="Times New Roman"/>
                <w:caps w:val="0"/>
                <w:spacing w:val="0"/>
                <w:sz w:val="21"/>
                <w:szCs w:val="21"/>
                <w:lang w:val="en-US"/>
              </w:rPr>
              <w:t>1</w:t>
            </w:r>
            <w:r>
              <w:rPr>
                <w:rFonts w:hint="eastAsia" w:ascii="宋体" w:hAnsi="宋体" w:eastAsia="宋体" w:cs="宋体"/>
                <w:caps w:val="0"/>
                <w:spacing w:val="0"/>
                <w:sz w:val="21"/>
                <w:szCs w:val="21"/>
              </w:rPr>
              <w:t>个城市与上月持平。与上月相比，本月价格环比下跌的城市个数减少</w:t>
            </w:r>
            <w:r>
              <w:rPr>
                <w:rFonts w:hint="default" w:ascii="Times New Roman" w:hAnsi="Times New Roman" w:eastAsia="宋体" w:cs="Times New Roman"/>
                <w:caps w:val="0"/>
                <w:spacing w:val="0"/>
                <w:sz w:val="21"/>
                <w:szCs w:val="21"/>
                <w:lang w:val="en-US"/>
              </w:rPr>
              <w:t>2</w:t>
            </w:r>
            <w:r>
              <w:rPr>
                <w:rFonts w:hint="eastAsia" w:ascii="宋体" w:hAnsi="宋体" w:eastAsia="宋体" w:cs="宋体"/>
                <w:caps w:val="0"/>
                <w:spacing w:val="0"/>
                <w:sz w:val="21"/>
                <w:szCs w:val="21"/>
              </w:rPr>
              <w:t>个，其中跌幅在</w:t>
            </w:r>
            <w:r>
              <w:rPr>
                <w:rFonts w:hint="default" w:ascii="Times New Roman" w:hAnsi="Times New Roman" w:eastAsia="宋体" w:cs="Times New Roman"/>
                <w:caps w:val="0"/>
                <w:spacing w:val="0"/>
                <w:sz w:val="21"/>
                <w:szCs w:val="21"/>
                <w:lang w:val="en-US"/>
              </w:rPr>
              <w:t>1%</w:t>
            </w:r>
            <w:r>
              <w:rPr>
                <w:rFonts w:hint="eastAsia" w:ascii="宋体" w:hAnsi="宋体" w:eastAsia="宋体" w:cs="宋体"/>
                <w:caps w:val="0"/>
                <w:spacing w:val="0"/>
                <w:sz w:val="21"/>
                <w:szCs w:val="21"/>
              </w:rPr>
              <w:t>以上的有</w:t>
            </w:r>
            <w:r>
              <w:rPr>
                <w:rFonts w:hint="default" w:ascii="Times New Roman" w:hAnsi="Times New Roman" w:eastAsia="宋体" w:cs="Times New Roman"/>
                <w:caps w:val="0"/>
                <w:spacing w:val="0"/>
                <w:sz w:val="21"/>
                <w:szCs w:val="21"/>
                <w:lang w:val="en-US"/>
              </w:rPr>
              <w:t>4</w:t>
            </w:r>
            <w:r>
              <w:rPr>
                <w:rFonts w:hint="eastAsia" w:ascii="宋体" w:hAnsi="宋体" w:eastAsia="宋体" w:cs="宋体"/>
                <w:caps w:val="0"/>
                <w:spacing w:val="0"/>
                <w:sz w:val="21"/>
                <w:szCs w:val="21"/>
              </w:rPr>
              <w:t>个；本月环比上涨的城市比上月增加</w:t>
            </w:r>
            <w:r>
              <w:rPr>
                <w:rFonts w:hint="default" w:ascii="Times New Roman" w:hAnsi="Times New Roman" w:eastAsia="宋体" w:cs="Times New Roman"/>
                <w:caps w:val="0"/>
                <w:spacing w:val="0"/>
                <w:sz w:val="21"/>
                <w:szCs w:val="21"/>
                <w:lang w:val="en-US"/>
              </w:rPr>
              <w:t>1</w:t>
            </w:r>
            <w:r>
              <w:rPr>
                <w:rFonts w:hint="eastAsia" w:ascii="宋体" w:hAnsi="宋体" w:eastAsia="宋体" w:cs="宋体"/>
                <w:caps w:val="0"/>
                <w:spacing w:val="0"/>
                <w:sz w:val="21"/>
                <w:szCs w:val="21"/>
              </w:rPr>
              <w:t>个，其中涨幅在</w:t>
            </w:r>
            <w:r>
              <w:rPr>
                <w:rFonts w:hint="default" w:ascii="Times New Roman" w:hAnsi="Times New Roman" w:eastAsia="宋体" w:cs="Times New Roman"/>
                <w:caps w:val="0"/>
                <w:spacing w:val="0"/>
                <w:sz w:val="21"/>
                <w:szCs w:val="21"/>
                <w:lang w:val="en-US"/>
              </w:rPr>
              <w:t>1%</w:t>
            </w:r>
            <w:r>
              <w:rPr>
                <w:rFonts w:hint="eastAsia" w:ascii="宋体" w:hAnsi="宋体" w:eastAsia="宋体" w:cs="宋体"/>
                <w:caps w:val="0"/>
                <w:spacing w:val="0"/>
                <w:sz w:val="21"/>
                <w:szCs w:val="21"/>
              </w:rPr>
              <w:t>以上的有</w:t>
            </w:r>
            <w:r>
              <w:rPr>
                <w:rFonts w:hint="default" w:ascii="Times New Roman" w:hAnsi="Times New Roman" w:eastAsia="宋体" w:cs="Times New Roman"/>
                <w:caps w:val="0"/>
                <w:spacing w:val="0"/>
                <w:sz w:val="21"/>
                <w:szCs w:val="21"/>
                <w:lang w:val="en-US"/>
              </w:rPr>
              <w:t>43</w:t>
            </w:r>
            <w:r>
              <w:rPr>
                <w:rFonts w:hint="eastAsia" w:ascii="宋体" w:hAnsi="宋体" w:eastAsia="宋体" w:cs="宋体"/>
                <w:caps w:val="0"/>
                <w:spacing w:val="0"/>
                <w:sz w:val="21"/>
                <w:szCs w:val="21"/>
              </w:rPr>
              <w:t>个，较上月增加</w:t>
            </w:r>
            <w:r>
              <w:rPr>
                <w:rFonts w:hint="default" w:ascii="Times New Roman" w:hAnsi="Times New Roman" w:eastAsia="宋体" w:cs="Times New Roman"/>
                <w:caps w:val="0"/>
                <w:spacing w:val="0"/>
                <w:sz w:val="21"/>
                <w:szCs w:val="21"/>
                <w:lang w:val="en-US"/>
              </w:rPr>
              <w:t>3</w:t>
            </w:r>
            <w:r>
              <w:rPr>
                <w:rFonts w:hint="eastAsia" w:ascii="宋体" w:hAnsi="宋体" w:eastAsia="宋体" w:cs="宋体"/>
                <w:caps w:val="0"/>
                <w:spacing w:val="0"/>
                <w:sz w:val="21"/>
                <w:szCs w:val="21"/>
              </w:rPr>
              <w:t>个。同比来看，上涨</w:t>
            </w:r>
            <w:r>
              <w:rPr>
                <w:rFonts w:hint="default" w:ascii="Times New Roman" w:hAnsi="Times New Roman" w:eastAsia="宋体" w:cs="Times New Roman"/>
                <w:caps w:val="0"/>
                <w:spacing w:val="0"/>
                <w:sz w:val="21"/>
                <w:szCs w:val="21"/>
                <w:lang w:val="en-US"/>
              </w:rPr>
              <w:t>6.90%</w:t>
            </w:r>
            <w:r>
              <w:rPr>
                <w:rFonts w:hint="eastAsia" w:ascii="宋体" w:hAnsi="宋体" w:eastAsia="宋体" w:cs="宋体"/>
                <w:caps w:val="0"/>
                <w:spacing w:val="0"/>
                <w:sz w:val="21"/>
                <w:szCs w:val="21"/>
              </w:rPr>
              <w:t>，涨幅相对上月扩大</w:t>
            </w:r>
            <w:r>
              <w:rPr>
                <w:rFonts w:hint="default" w:ascii="Times New Roman" w:hAnsi="Times New Roman" w:eastAsia="宋体" w:cs="Times New Roman"/>
                <w:caps w:val="0"/>
                <w:spacing w:val="0"/>
                <w:sz w:val="21"/>
                <w:szCs w:val="21"/>
                <w:lang w:val="en-US"/>
              </w:rPr>
              <w:t>1.56</w:t>
            </w:r>
            <w:r>
              <w:rPr>
                <w:rFonts w:hint="eastAsia" w:ascii="宋体" w:hAnsi="宋体" w:eastAsia="宋体" w:cs="宋体"/>
                <w:caps w:val="0"/>
                <w:spacing w:val="0"/>
                <w:sz w:val="21"/>
                <w:szCs w:val="21"/>
              </w:rPr>
              <w:t>个百分比。</w:t>
            </w:r>
            <w:r>
              <w:rPr>
                <w:rFonts w:hint="eastAsia" w:ascii="宋体" w:hAnsi="宋体" w:eastAsia="宋体" w:cs="宋体"/>
                <w:b/>
                <w:caps w:val="0"/>
                <w:spacing w:val="0"/>
                <w:sz w:val="21"/>
                <w:szCs w:val="21"/>
              </w:rPr>
              <w:t>总体来看，</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w:t>
            </w:r>
            <w:r>
              <w:rPr>
                <w:rFonts w:hint="default" w:ascii="Times New Roman" w:hAnsi="Times New Roman" w:eastAsia="宋体" w:cs="Times New Roman"/>
                <w:b/>
                <w:caps w:val="0"/>
                <w:spacing w:val="0"/>
                <w:sz w:val="21"/>
                <w:szCs w:val="21"/>
                <w:lang w:val="en-US"/>
              </w:rPr>
              <w:t>100</w:t>
            </w:r>
            <w:r>
              <w:rPr>
                <w:rFonts w:hint="eastAsia" w:ascii="宋体" w:hAnsi="宋体" w:eastAsia="宋体" w:cs="宋体"/>
                <w:b/>
                <w:caps w:val="0"/>
                <w:spacing w:val="0"/>
                <w:sz w:val="21"/>
                <w:szCs w:val="21"/>
              </w:rPr>
              <w:t>个城市的住宅平均价格自</w:t>
            </w:r>
            <w:r>
              <w:rPr>
                <w:rFonts w:hint="default" w:ascii="Times New Roman" w:hAnsi="Times New Roman" w:eastAsia="宋体" w:cs="Times New Roman"/>
                <w:b/>
                <w:caps w:val="0"/>
                <w:spacing w:val="0"/>
                <w:sz w:val="21"/>
                <w:szCs w:val="21"/>
                <w:lang w:val="en-US"/>
              </w:rPr>
              <w:t>2012</w:t>
            </w:r>
            <w:r>
              <w:rPr>
                <w:rFonts w:hint="eastAsia" w:ascii="宋体" w:hAnsi="宋体" w:eastAsia="宋体" w:cs="宋体"/>
                <w:b/>
                <w:caps w:val="0"/>
                <w:spacing w:val="0"/>
                <w:sz w:val="21"/>
                <w:szCs w:val="21"/>
              </w:rPr>
              <w:t>年</w:t>
            </w:r>
            <w:r>
              <w:rPr>
                <w:rFonts w:hint="default" w:ascii="Times New Roman" w:hAnsi="Times New Roman" w:eastAsia="宋体" w:cs="Times New Roman"/>
                <w:b/>
                <w:caps w:val="0"/>
                <w:spacing w:val="0"/>
                <w:sz w:val="21"/>
                <w:szCs w:val="21"/>
                <w:lang w:val="en-US"/>
              </w:rPr>
              <w:t>6</w:t>
            </w:r>
            <w:r>
              <w:rPr>
                <w:rFonts w:hint="eastAsia" w:ascii="宋体" w:hAnsi="宋体" w:eastAsia="宋体" w:cs="宋体"/>
                <w:b/>
                <w:caps w:val="0"/>
                <w:spacing w:val="0"/>
                <w:sz w:val="21"/>
                <w:szCs w:val="21"/>
              </w:rPr>
              <w:t>月连续第</w:t>
            </w:r>
            <w:r>
              <w:rPr>
                <w:rFonts w:hint="default" w:ascii="Times New Roman" w:hAnsi="Times New Roman" w:eastAsia="宋体" w:cs="Times New Roman"/>
                <w:b/>
                <w:caps w:val="0"/>
                <w:spacing w:val="0"/>
                <w:sz w:val="21"/>
                <w:szCs w:val="21"/>
                <w:lang w:val="en-US"/>
              </w:rPr>
              <w:t>12</w:t>
            </w:r>
            <w:r>
              <w:rPr>
                <w:rFonts w:hint="eastAsia" w:ascii="宋体" w:hAnsi="宋体" w:eastAsia="宋体" w:cs="宋体"/>
                <w:b/>
                <w:caps w:val="0"/>
                <w:spacing w:val="0"/>
                <w:sz w:val="21"/>
                <w:szCs w:val="21"/>
              </w:rPr>
              <w:t>个月环比上涨，涨幅较上月缩小</w:t>
            </w:r>
            <w:r>
              <w:rPr>
                <w:rFonts w:hint="default" w:ascii="Times New Roman" w:hAnsi="Times New Roman" w:eastAsia="宋体" w:cs="Times New Roman"/>
                <w:b/>
                <w:caps w:val="0"/>
                <w:spacing w:val="0"/>
                <w:sz w:val="21"/>
                <w:szCs w:val="21"/>
                <w:lang w:val="en-US"/>
              </w:rPr>
              <w:t>0.19</w:t>
            </w:r>
            <w:r>
              <w:rPr>
                <w:rFonts w:hint="eastAsia" w:ascii="宋体" w:hAnsi="宋体" w:eastAsia="宋体" w:cs="宋体"/>
                <w:b/>
                <w:caps w:val="0"/>
                <w:spacing w:val="0"/>
                <w:sz w:val="21"/>
                <w:szCs w:val="21"/>
              </w:rPr>
              <w:t>个百分比，，同比连续第</w:t>
            </w:r>
            <w:r>
              <w:rPr>
                <w:rFonts w:hint="default" w:ascii="Times New Roman" w:hAnsi="Times New Roman" w:eastAsia="宋体" w:cs="Times New Roman"/>
                <w:b/>
                <w:caps w:val="0"/>
                <w:spacing w:val="0"/>
                <w:sz w:val="21"/>
                <w:szCs w:val="21"/>
                <w:lang w:val="en-US"/>
              </w:rPr>
              <w:t>6</w:t>
            </w:r>
            <w:r>
              <w:rPr>
                <w:rFonts w:hint="eastAsia" w:ascii="宋体" w:hAnsi="宋体" w:eastAsia="宋体" w:cs="宋体"/>
                <w:b/>
                <w:caps w:val="0"/>
                <w:spacing w:val="0"/>
                <w:sz w:val="21"/>
                <w:szCs w:val="21"/>
              </w:rPr>
              <w:t>个月上涨，涨幅继续扩大至</w:t>
            </w:r>
            <w:r>
              <w:rPr>
                <w:rFonts w:hint="default" w:ascii="Times New Roman" w:hAnsi="Times New Roman" w:eastAsia="宋体" w:cs="Times New Roman"/>
                <w:b/>
                <w:caps w:val="0"/>
                <w:spacing w:val="0"/>
                <w:sz w:val="21"/>
                <w:szCs w:val="21"/>
                <w:lang w:val="en-US"/>
              </w:rPr>
              <w:t>6.90%</w:t>
            </w:r>
            <w:r>
              <w:rPr>
                <w:rFonts w:hint="eastAsia" w:ascii="宋体" w:hAnsi="宋体" w:eastAsia="宋体" w:cs="宋体"/>
                <w:b/>
                <w:caps w:val="0"/>
                <w:spacing w:val="0"/>
                <w:sz w:val="21"/>
                <w:szCs w:val="21"/>
              </w:rPr>
              <w:t>。</w:t>
            </w:r>
          </w:p>
          <w:p>
            <w:pPr>
              <w:pStyle w:val="2"/>
              <w:keepNext w:val="0"/>
              <w:keepLines w:val="0"/>
              <w:widowControl/>
              <w:suppressLineNumbers w:val="0"/>
              <w:spacing w:before="0" w:beforeAutospacing="1" w:after="0" w:afterAutospacing="1" w:line="288" w:lineRule="atLeast"/>
              <w:ind w:left="0" w:right="0" w:firstLine="422"/>
            </w:pPr>
            <w:r>
              <w:rPr>
                <w:rFonts w:hint="eastAsia" w:ascii="宋体" w:hAnsi="宋体" w:eastAsia="宋体" w:cs="宋体"/>
                <w:b/>
                <w:caps w:val="0"/>
                <w:spacing w:val="0"/>
                <w:sz w:val="21"/>
                <w:szCs w:val="21"/>
              </w:rPr>
              <w:t>进入</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以来，随着“国五条”、限价等调控政策的逐步落实，开发企业推盘积极性有所下降，部分购房者观望情绪渐起，多个城市住宅成交量相比上月继续下降，传统“红五月”成色不足，在政策效果继续释放和成交量走低双重影响下，全国房价涨幅在本月继续缩小。与住宅市场成交受限不同，土地市场在</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继续升温，北京、上海、长沙等地频现“地王”或高溢价成交，促使住宅价格上涨预期继续释放；政策层面，有关房产税的争论和猜测继续存在，但本月并无新政出台，政策以稳为主；部分城市的新开楼盘尽管面临“限价”限制，但多数项目价格稳中有涨；宏观环境层面，投资、</w:t>
            </w:r>
            <w:r>
              <w:rPr>
                <w:rFonts w:hint="default" w:ascii="Times New Roman" w:hAnsi="Times New Roman" w:eastAsia="宋体" w:cs="Times New Roman"/>
                <w:b/>
                <w:caps w:val="0"/>
                <w:spacing w:val="0"/>
                <w:sz w:val="21"/>
                <w:szCs w:val="21"/>
                <w:lang w:val="en-US"/>
              </w:rPr>
              <w:t>PMI</w:t>
            </w:r>
            <w:r>
              <w:rPr>
                <w:rFonts w:hint="eastAsia" w:ascii="宋体" w:hAnsi="宋体" w:eastAsia="宋体" w:cs="宋体"/>
                <w:b/>
                <w:caps w:val="0"/>
                <w:spacing w:val="0"/>
                <w:sz w:val="21"/>
                <w:szCs w:val="21"/>
              </w:rPr>
              <w:t>等指标继续下滑，经济复苏势头乏力，货币政策维持相对宽松的预期继续存在。在土地价格上涨、热点城市当前供应依然不足、货币政策预期放宽的大环境下，未来房价继续上涨的预期依然较强。</w:t>
            </w:r>
          </w:p>
          <w:p>
            <w:pPr>
              <w:keepNext w:val="0"/>
              <w:keepLines w:val="0"/>
              <w:widowControl/>
              <w:suppressLineNumbers w:val="0"/>
              <w:spacing w:before="0" w:beforeAutospacing="1" w:after="0" w:afterAutospacing="1" w:line="288" w:lineRule="atLeast"/>
              <w:ind w:left="971" w:right="0" w:hanging="420"/>
              <w:jc w:val="left"/>
            </w:pPr>
            <w:r>
              <w:rPr>
                <w:rFonts w:hint="default"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本月黄州楼市情况:量涨价跌</w:t>
            </w:r>
          </w:p>
          <w:p>
            <w:pPr>
              <w:pStyle w:val="2"/>
              <w:keepNext w:val="0"/>
              <w:keepLines w:val="0"/>
              <w:widowControl/>
              <w:suppressLineNumbers w:val="0"/>
              <w:spacing w:before="0" w:beforeAutospacing="1" w:after="0" w:afterAutospacing="1" w:line="288" w:lineRule="atLeast"/>
              <w:ind w:left="0" w:right="0" w:firstLine="420"/>
            </w:pPr>
            <w:r>
              <w:rPr>
                <w:rFonts w:hint="eastAsia" w:ascii="宋体" w:hAnsi="宋体" w:eastAsia="宋体" w:cs="宋体"/>
                <w:caps w:val="0"/>
                <w:spacing w:val="0"/>
                <w:sz w:val="21"/>
                <w:szCs w:val="21"/>
              </w:rPr>
              <w:t>房地产官网数据显示，</w:t>
            </w:r>
            <w:r>
              <w:rPr>
                <w:rFonts w:hint="default" w:ascii="Times New Roman" w:hAnsi="Times New Roman" w:eastAsia="宋体" w:cs="Times New Roman"/>
                <w:caps w:val="0"/>
                <w:spacing w:val="0"/>
                <w:sz w:val="21"/>
                <w:szCs w:val="21"/>
                <w:lang w:val="en-US"/>
              </w:rPr>
              <w:t>5</w:t>
            </w:r>
            <w:r>
              <w:rPr>
                <w:rFonts w:hint="eastAsia" w:ascii="宋体" w:hAnsi="宋体" w:eastAsia="宋体" w:cs="宋体"/>
                <w:caps w:val="0"/>
                <w:spacing w:val="0"/>
                <w:sz w:val="21"/>
                <w:szCs w:val="21"/>
              </w:rPr>
              <w:t>黄冈城区（黄州区）住宅销售总额约为</w:t>
            </w:r>
            <w:r>
              <w:rPr>
                <w:rFonts w:hint="default" w:ascii="Times New Roman" w:hAnsi="Times New Roman" w:eastAsia="宋体" w:cs="Times New Roman"/>
                <w:caps w:val="0"/>
                <w:spacing w:val="0"/>
                <w:sz w:val="21"/>
                <w:szCs w:val="21"/>
                <w:lang w:val="en-US"/>
              </w:rPr>
              <w:t>3.233</w:t>
            </w:r>
            <w:r>
              <w:rPr>
                <w:rFonts w:hint="eastAsia" w:ascii="宋体" w:hAnsi="宋体" w:eastAsia="宋体" w:cs="宋体"/>
                <w:caps w:val="0"/>
                <w:spacing w:val="0"/>
                <w:sz w:val="21"/>
                <w:szCs w:val="21"/>
              </w:rPr>
              <w:t>亿元，共售出</w:t>
            </w:r>
            <w:r>
              <w:rPr>
                <w:rFonts w:hint="default" w:ascii="Times New Roman" w:hAnsi="Times New Roman" w:eastAsia="宋体" w:cs="Times New Roman"/>
                <w:caps w:val="0"/>
                <w:spacing w:val="0"/>
                <w:sz w:val="21"/>
                <w:szCs w:val="21"/>
                <w:lang w:val="en-US"/>
              </w:rPr>
              <w:t>813</w:t>
            </w:r>
            <w:r>
              <w:rPr>
                <w:rFonts w:hint="eastAsia" w:ascii="宋体" w:hAnsi="宋体" w:eastAsia="宋体" w:cs="宋体"/>
                <w:caps w:val="0"/>
                <w:spacing w:val="0"/>
                <w:sz w:val="21"/>
                <w:szCs w:val="21"/>
              </w:rPr>
              <w:t>套，成交均价</w:t>
            </w:r>
            <w:r>
              <w:rPr>
                <w:rFonts w:hint="default" w:ascii="Times New Roman" w:hAnsi="Times New Roman" w:eastAsia="宋体" w:cs="Times New Roman"/>
                <w:caps w:val="0"/>
                <w:spacing w:val="0"/>
                <w:sz w:val="21"/>
                <w:szCs w:val="21"/>
                <w:lang w:val="en-US"/>
              </w:rPr>
              <w:t>3734.67</w:t>
            </w:r>
            <w:r>
              <w:rPr>
                <w:rFonts w:hint="eastAsia" w:ascii="宋体" w:hAnsi="宋体" w:eastAsia="宋体" w:cs="宋体"/>
                <w:caps w:val="0"/>
                <w:spacing w:val="0"/>
                <w:sz w:val="21"/>
                <w:szCs w:val="21"/>
              </w:rPr>
              <w:t>元</w:t>
            </w:r>
            <w:r>
              <w:rPr>
                <w:rFonts w:hint="default" w:ascii="Times New Roman" w:hAnsi="Times New Roman" w:eastAsia="宋体" w:cs="Times New Roman"/>
                <w:caps w:val="0"/>
                <w:spacing w:val="0"/>
                <w:sz w:val="21"/>
                <w:szCs w:val="21"/>
                <w:lang w:val="en-US"/>
              </w:rPr>
              <w:t>/</w:t>
            </w:r>
            <w:r>
              <w:rPr>
                <w:rFonts w:hint="eastAsia" w:ascii="宋体" w:hAnsi="宋体" w:eastAsia="宋体" w:cs="宋体"/>
                <w:caps w:val="0"/>
                <w:spacing w:val="0"/>
                <w:sz w:val="21"/>
                <w:szCs w:val="21"/>
              </w:rPr>
              <w:t>㎡。</w:t>
            </w:r>
          </w:p>
          <w:p>
            <w:pPr>
              <w:pStyle w:val="2"/>
              <w:keepNext w:val="0"/>
              <w:keepLines w:val="0"/>
              <w:widowControl/>
              <w:suppressLineNumbers w:val="0"/>
              <w:spacing w:before="0" w:beforeAutospacing="1" w:after="0" w:afterAutospacing="1" w:line="288" w:lineRule="atLeast"/>
              <w:ind w:left="0" w:right="0" w:firstLine="420"/>
            </w:pPr>
            <w:r>
              <w:rPr>
                <w:rFonts w:ascii="Arial" w:hAnsi="Arial" w:eastAsia="宋体" w:cs="Arial"/>
                <w:caps w:val="0"/>
                <w:color w:val="333333"/>
                <w:spacing w:val="0"/>
                <w:sz w:val="21"/>
                <w:szCs w:val="21"/>
                <w:shd w:val="clear" w:fill="FFFFFF"/>
                <w:lang w:val="en-US"/>
              </w:rPr>
              <w:t> </w:t>
            </w:r>
            <w:r>
              <w:rPr>
                <w:rFonts w:hint="eastAsia" w:ascii="宋体" w:hAnsi="宋体" w:eastAsia="宋体" w:cs="宋体"/>
                <w:caps w:val="0"/>
                <w:spacing w:val="0"/>
                <w:sz w:val="21"/>
                <w:szCs w:val="21"/>
              </w:rPr>
              <w:t>进入“红五月”后，黄冈楼市成交随着气温的升高而开始攀高。在这一个月里，市区开发商推盘明显比上个月多。一来开发商加大推盘力度，二来刚需仍是购房主力，新政对像黄冈这样的三四线城市影响较为缓慢。综上，在北上广深等一线城市红五月成色不足的情况下，黄冈楼市形势喜人。</w:t>
            </w:r>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1</w:t>
            </w:r>
            <w:r>
              <w:rPr>
                <w:rFonts w:hint="eastAsia" w:ascii="宋体" w:hAnsi="宋体" w:eastAsia="宋体" w:cs="宋体"/>
                <w:b/>
                <w:caps w:val="0"/>
                <w:spacing w:val="0"/>
                <w:sz w:val="21"/>
                <w:szCs w:val="21"/>
              </w:rPr>
              <w:t>：</w:t>
            </w:r>
            <w:r>
              <w:rPr>
                <w:rFonts w:hint="default" w:ascii="Times New Roman" w:hAnsi="Times New Roman" w:eastAsia="宋体" w:cs="Times New Roman"/>
                <w:b/>
                <w:caps w:val="0"/>
                <w:spacing w:val="0"/>
                <w:sz w:val="21"/>
                <w:szCs w:val="21"/>
                <w:lang w:val="en-US"/>
              </w:rPr>
              <w:t>2013</w:t>
            </w:r>
            <w:r>
              <w:rPr>
                <w:rFonts w:hint="eastAsia" w:ascii="宋体" w:hAnsi="宋体" w:eastAsia="宋体" w:cs="宋体"/>
                <w:b/>
                <w:caps w:val="0"/>
                <w:spacing w:val="0"/>
                <w:sz w:val="21"/>
                <w:szCs w:val="21"/>
              </w:rPr>
              <w:t>与</w:t>
            </w:r>
            <w:r>
              <w:rPr>
                <w:rFonts w:hint="default" w:ascii="Times New Roman" w:hAnsi="Times New Roman" w:eastAsia="宋体" w:cs="Times New Roman"/>
                <w:b/>
                <w:caps w:val="0"/>
                <w:spacing w:val="0"/>
                <w:sz w:val="21"/>
                <w:szCs w:val="21"/>
                <w:lang w:val="en-US"/>
              </w:rPr>
              <w:t>2012</w:t>
            </w:r>
            <w:r>
              <w:rPr>
                <w:rFonts w:hint="eastAsia" w:ascii="宋体" w:hAnsi="宋体" w:eastAsia="宋体" w:cs="宋体"/>
                <w:b/>
                <w:caps w:val="0"/>
                <w:spacing w:val="0"/>
                <w:sz w:val="21"/>
                <w:szCs w:val="21"/>
              </w:rPr>
              <w:t>同期黄冈城区住宅销售套数对比示意图</w:t>
            </w:r>
          </w:p>
          <w:p>
            <w:pPr>
              <w:pStyle w:val="2"/>
              <w:keepNext w:val="0"/>
              <w:keepLines w:val="0"/>
              <w:widowControl/>
              <w:suppressLineNumbers w:val="0"/>
              <w:spacing w:before="0" w:beforeAutospacing="1" w:after="0" w:afterAutospacing="1" w:line="24" w:lineRule="atLeast"/>
              <w:ind w:left="0" w:right="0" w:firstLine="0"/>
              <w:jc w:val="center"/>
            </w:pPr>
            <w:r>
              <w:rPr>
                <w:rFonts w:hint="default" w:ascii="Times New Roman" w:hAnsi="Times New Roman" w:eastAsia="宋体" w:cs="Times New Roman"/>
                <w:b/>
                <w:caps w:val="0"/>
                <w:spacing w:val="0"/>
                <w:sz w:val="21"/>
                <w:szCs w:val="21"/>
                <w:lang w:val="en-US"/>
              </w:rPr>
              <w:drawing>
                <wp:inline distT="0" distB="0" distL="114300" distR="114300">
                  <wp:extent cx="4857750" cy="2686050"/>
                  <wp:effectExtent l="0" t="0" r="3810" b="1143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4857750" cy="26860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4" w:lineRule="atLeast"/>
              <w:ind w:left="0" w:right="0" w:firstLine="0"/>
              <w:jc w:val="center"/>
            </w:pPr>
            <w:r>
              <w:rPr>
                <w:rFonts w:hint="default" w:ascii="Times New Roman" w:hAnsi="Times New Roman" w:eastAsia="宋体" w:cs="Times New Roman"/>
                <w:b/>
                <w:caps w:val="0"/>
                <w:spacing w:val="0"/>
                <w:sz w:val="21"/>
                <w:szCs w:val="21"/>
                <w:lang w:val="en-US"/>
              </w:rPr>
              <w:t> </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aps w:val="0"/>
                <w:spacing w:val="0"/>
                <w:kern w:val="0"/>
                <w:sz w:val="24"/>
                <w:szCs w:val="24"/>
                <w:lang w:val="en-US" w:eastAsia="zh-CN" w:bidi="ar"/>
              </w:rPr>
              <w:t>第二部分  黄冈土地市场分析</w:t>
            </w:r>
          </w:p>
          <w:p>
            <w:pPr>
              <w:keepNext w:val="0"/>
              <w:keepLines w:val="0"/>
              <w:widowControl/>
              <w:suppressLineNumbers w:val="0"/>
              <w:spacing w:before="0" w:beforeAutospacing="1" w:after="0" w:afterAutospacing="1" w:line="288" w:lineRule="atLeast"/>
              <w:ind w:left="0" w:right="281" w:firstLine="417"/>
              <w:jc w:val="left"/>
            </w:pPr>
            <w:bookmarkStart w:id="3" w:name="_Toc5818"/>
            <w:r>
              <w:rPr>
                <w:rFonts w:hint="eastAsia" w:ascii="宋体" w:hAnsi="宋体" w:eastAsia="宋体" w:cs="宋体"/>
                <w:b/>
                <w:caps w:val="0"/>
                <w:spacing w:val="0"/>
                <w:kern w:val="0"/>
                <w:sz w:val="24"/>
                <w:szCs w:val="24"/>
                <w:lang w:val="en-US" w:eastAsia="zh-CN" w:bidi="ar"/>
              </w:rPr>
              <w:t>一、土地供应市场解析</w:t>
            </w:r>
            <w:bookmarkEnd w:id="3"/>
          </w:p>
          <w:p>
            <w:pPr>
              <w:keepNext w:val="0"/>
              <w:keepLines w:val="0"/>
              <w:widowControl/>
              <w:suppressLineNumbers w:val="0"/>
              <w:spacing w:before="0" w:beforeAutospacing="1" w:after="0" w:afterAutospacing="1" w:line="288" w:lineRule="atLeast"/>
              <w:ind w:left="0" w:right="0" w:firstLine="413"/>
              <w:jc w:val="left"/>
            </w:pPr>
            <w:r>
              <w:rPr>
                <w:rFonts w:hint="eastAsia" w:ascii="宋体" w:hAnsi="宋体" w:eastAsia="宋体" w:cs="宋体"/>
                <w:b/>
                <w:caps w:val="0"/>
                <w:spacing w:val="0"/>
                <w:kern w:val="0"/>
                <w:sz w:val="24"/>
                <w:szCs w:val="24"/>
                <w:lang w:val="en-US" w:eastAsia="zh-CN" w:bidi="ar"/>
              </w:rPr>
              <w:t>1.本月出让地块</w:t>
            </w:r>
          </w:p>
          <w:p>
            <w:pPr>
              <w:keepNext w:val="0"/>
              <w:keepLines w:val="0"/>
              <w:widowControl/>
              <w:suppressLineNumbers w:val="0"/>
              <w:spacing w:before="0" w:beforeAutospacing="1" w:after="0" w:afterAutospacing="1" w:line="288" w:lineRule="atLeast"/>
              <w:ind w:left="0" w:right="0" w:firstLine="412"/>
              <w:jc w:val="left"/>
            </w:pPr>
            <w:r>
              <w:rPr>
                <w:rFonts w:hint="eastAsia" w:ascii="宋体" w:hAnsi="宋体" w:eastAsia="宋体" w:cs="宋体"/>
                <w:b/>
                <w:caps w:val="0"/>
                <w:spacing w:val="0"/>
                <w:kern w:val="0"/>
                <w:sz w:val="24"/>
                <w:szCs w:val="24"/>
                <w:lang w:val="en-US" w:eastAsia="zh-CN" w:bidi="ar"/>
              </w:rPr>
              <w:t>本月土地市场供应有所增长，黄州区共挂牌出让土地3宗。出让土地面积43623㎡，合计约65.43亩，总出让额1559万元，出让单价23.827万元/亩。挂牌土地列表如下：</w:t>
            </w:r>
          </w:p>
          <w:p>
            <w:pPr>
              <w:pStyle w:val="2"/>
              <w:keepNext w:val="0"/>
              <w:keepLines w:val="0"/>
              <w:widowControl/>
              <w:suppressLineNumbers w:val="0"/>
              <w:spacing w:before="0" w:beforeAutospacing="1" w:after="0" w:afterAutospacing="1" w:line="288"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2</w:t>
            </w:r>
            <w:r>
              <w:rPr>
                <w:rFonts w:hint="eastAsia" w:ascii="宋体" w:hAnsi="宋体" w:eastAsia="宋体" w:cs="宋体"/>
                <w:b/>
                <w:caps w:val="0"/>
                <w:spacing w:val="0"/>
                <w:sz w:val="21"/>
                <w:szCs w:val="21"/>
              </w:rPr>
              <w:t>：出让地块详情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705"/>
              <w:gridCol w:w="1084"/>
              <w:gridCol w:w="1074"/>
              <w:gridCol w:w="1416"/>
              <w:gridCol w:w="1296"/>
              <w:gridCol w:w="948"/>
              <w:gridCol w:w="78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9" w:hRule="atLeast"/>
                <w:jc w:val="center"/>
              </w:trPr>
              <w:tc>
                <w:tcPr>
                  <w:tcW w:w="1705"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地块编号</w:t>
                  </w:r>
                </w:p>
              </w:tc>
              <w:tc>
                <w:tcPr>
                  <w:tcW w:w="108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位置</w:t>
                  </w:r>
                </w:p>
              </w:tc>
              <w:tc>
                <w:tcPr>
                  <w:tcW w:w="107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面积/㎡</w:t>
                  </w:r>
                </w:p>
              </w:tc>
              <w:tc>
                <w:tcPr>
                  <w:tcW w:w="141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用途</w:t>
                  </w:r>
                </w:p>
              </w:tc>
              <w:tc>
                <w:tcPr>
                  <w:tcW w:w="129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挂牌时间</w:t>
                  </w:r>
                </w:p>
              </w:tc>
              <w:tc>
                <w:tcPr>
                  <w:tcW w:w="94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起始价（万）</w:t>
                  </w:r>
                </w:p>
              </w:tc>
              <w:tc>
                <w:tcPr>
                  <w:tcW w:w="78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出让</w:t>
                  </w:r>
                </w:p>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b/>
                      <w:color w:val="000000"/>
                      <w:kern w:val="0"/>
                      <w:sz w:val="24"/>
                      <w:szCs w:val="24"/>
                      <w:lang w:val="en-US" w:eastAsia="zh-CN" w:bidi="ar"/>
                    </w:rPr>
                    <w:t>年限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1" w:hRule="atLeast"/>
                <w:jc w:val="center"/>
              </w:trPr>
              <w:tc>
                <w:tcPr>
                  <w:tcW w:w="17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【2013】12</w:t>
                  </w:r>
                </w:p>
              </w:tc>
              <w:tc>
                <w:tcPr>
                  <w:tcW w:w="10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宝塔大道与西湖四路交界处东南角</w:t>
                  </w:r>
                </w:p>
              </w:tc>
              <w:tc>
                <w:tcPr>
                  <w:tcW w:w="1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3527.5</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商业、  居住</w:t>
                  </w:r>
                </w:p>
              </w:tc>
              <w:tc>
                <w:tcPr>
                  <w:tcW w:w="12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2013-5-2</w:t>
                  </w:r>
                </w:p>
              </w:tc>
              <w:tc>
                <w:tcPr>
                  <w:tcW w:w="94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565</w:t>
                  </w:r>
                </w:p>
              </w:tc>
              <w:tc>
                <w:tcPr>
                  <w:tcW w:w="7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40年；70年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1" w:hRule="atLeast"/>
                <w:jc w:val="center"/>
              </w:trPr>
              <w:tc>
                <w:tcPr>
                  <w:tcW w:w="17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2013-11-1</w:t>
                  </w:r>
                </w:p>
              </w:tc>
              <w:tc>
                <w:tcPr>
                  <w:tcW w:w="10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南湖路南侧</w:t>
                  </w:r>
                </w:p>
              </w:tc>
              <w:tc>
                <w:tcPr>
                  <w:tcW w:w="1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25549</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工业用地</w:t>
                  </w:r>
                </w:p>
              </w:tc>
              <w:tc>
                <w:tcPr>
                  <w:tcW w:w="12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2013-5-30</w:t>
                  </w:r>
                </w:p>
              </w:tc>
              <w:tc>
                <w:tcPr>
                  <w:tcW w:w="94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633</w:t>
                  </w:r>
                </w:p>
              </w:tc>
              <w:tc>
                <w:tcPr>
                  <w:tcW w:w="7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50年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1" w:hRule="atLeast"/>
                <w:jc w:val="center"/>
              </w:trPr>
              <w:tc>
                <w:tcPr>
                  <w:tcW w:w="17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2013-11-2</w:t>
                  </w:r>
                </w:p>
              </w:tc>
              <w:tc>
                <w:tcPr>
                  <w:tcW w:w="10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南湖路南侧</w:t>
                  </w:r>
                </w:p>
              </w:tc>
              <w:tc>
                <w:tcPr>
                  <w:tcW w:w="1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14546.3</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工业用地</w:t>
                  </w:r>
                </w:p>
              </w:tc>
              <w:tc>
                <w:tcPr>
                  <w:tcW w:w="12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2013-5-30</w:t>
                  </w:r>
                </w:p>
              </w:tc>
              <w:tc>
                <w:tcPr>
                  <w:tcW w:w="94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361</w:t>
                  </w:r>
                </w:p>
              </w:tc>
              <w:tc>
                <w:tcPr>
                  <w:tcW w:w="7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88" w:lineRule="atLeast"/>
                    <w:ind w:left="0" w:right="0"/>
                    <w:jc w:val="center"/>
                  </w:pPr>
                  <w:r>
                    <w:rPr>
                      <w:rFonts w:hint="eastAsia" w:ascii="宋体" w:hAnsi="宋体" w:eastAsia="宋体" w:cs="宋体"/>
                      <w:color w:val="000000"/>
                      <w:kern w:val="0"/>
                      <w:sz w:val="24"/>
                      <w:szCs w:val="24"/>
                      <w:lang w:val="en-US" w:eastAsia="zh-CN" w:bidi="ar"/>
                    </w:rPr>
                    <w:t>50年</w:t>
                  </w:r>
                </w:p>
              </w:tc>
            </w:tr>
          </w:tbl>
          <w:p>
            <w:pPr>
              <w:keepNext w:val="0"/>
              <w:keepLines w:val="0"/>
              <w:widowControl/>
              <w:suppressLineNumbers w:val="0"/>
              <w:spacing w:line="24" w:lineRule="atLeast"/>
              <w:ind w:left="0" w:firstLine="0"/>
              <w:jc w:val="center"/>
              <w:rPr>
                <w:rFonts w:hint="eastAsia" w:ascii="宋体" w:hAnsi="宋体" w:eastAsia="宋体" w:cs="宋体"/>
                <w:b/>
                <w:caps w:val="0"/>
                <w:spacing w:val="0"/>
                <w:sz w:val="14"/>
                <w:szCs w:val="14"/>
              </w:rPr>
            </w:pPr>
            <w:r>
              <w:rPr>
                <w:rFonts w:hint="eastAsia" w:ascii="宋体" w:hAnsi="宋体" w:eastAsia="宋体" w:cs="宋体"/>
                <w:b/>
                <w:caps w:val="0"/>
                <w:spacing w:val="0"/>
                <w:kern w:val="0"/>
                <w:sz w:val="14"/>
                <w:szCs w:val="14"/>
                <w:lang w:val="en-US" w:eastAsia="zh-CN" w:bidi="ar"/>
              </w:rPr>
              <w:t> </w:t>
            </w:r>
          </w:p>
          <w:p>
            <w:pPr>
              <w:keepNext w:val="0"/>
              <w:keepLines w:val="0"/>
              <w:widowControl/>
              <w:suppressLineNumbers w:val="0"/>
              <w:spacing w:before="0" w:beforeAutospacing="1" w:after="0" w:afterAutospacing="1" w:line="288" w:lineRule="atLeast"/>
              <w:ind w:left="113" w:right="0" w:firstLine="422"/>
              <w:jc w:val="left"/>
            </w:pPr>
            <w:r>
              <w:rPr>
                <w:rFonts w:hint="eastAsia" w:ascii="宋体" w:hAnsi="宋体" w:eastAsia="宋体" w:cs="宋体"/>
                <w:b/>
                <w:caps w:val="0"/>
                <w:spacing w:val="0"/>
                <w:kern w:val="0"/>
                <w:sz w:val="24"/>
                <w:szCs w:val="24"/>
                <w:lang w:val="en-US" w:eastAsia="zh-CN" w:bidi="ar"/>
              </w:rPr>
              <w:t>2.挂牌土地特征</w:t>
            </w:r>
          </w:p>
          <w:p>
            <w:pPr>
              <w:keepNext w:val="0"/>
              <w:keepLines w:val="0"/>
              <w:widowControl/>
              <w:suppressLineNumbers w:val="0"/>
              <w:spacing w:before="0" w:beforeAutospacing="1" w:after="0" w:afterAutospacing="1" w:line="288" w:lineRule="atLeast"/>
              <w:ind w:left="113" w:right="0" w:firstLine="420"/>
              <w:jc w:val="left"/>
            </w:pPr>
            <w:r>
              <w:rPr>
                <w:rFonts w:hint="eastAsia" w:ascii="宋体" w:hAnsi="宋体" w:eastAsia="宋体" w:cs="宋体"/>
                <w:b/>
                <w:caps w:val="0"/>
                <w:spacing w:val="0"/>
                <w:kern w:val="0"/>
                <w:sz w:val="24"/>
                <w:szCs w:val="24"/>
                <w:lang w:val="en-US" w:eastAsia="zh-CN" w:bidi="ar"/>
              </w:rPr>
              <w:t>本月所供地块共3宗，2宗工业用地，1总商住用地，较前期有所增加。</w:t>
            </w:r>
          </w:p>
          <w:p>
            <w:pPr>
              <w:keepNext w:val="0"/>
              <w:keepLines w:val="0"/>
              <w:widowControl/>
              <w:suppressLineNumbers w:val="0"/>
              <w:spacing w:before="0" w:beforeAutospacing="1" w:after="0" w:afterAutospacing="1" w:line="24" w:lineRule="atLeast"/>
              <w:ind w:left="0" w:right="281" w:firstLine="417"/>
              <w:jc w:val="left"/>
            </w:pPr>
            <w:bookmarkStart w:id="4" w:name="_Toc5592"/>
            <w:r>
              <w:rPr>
                <w:rFonts w:hint="eastAsia" w:ascii="宋体" w:hAnsi="宋体" w:eastAsia="宋体" w:cs="宋体"/>
                <w:b/>
                <w:caps w:val="0"/>
                <w:spacing w:val="0"/>
                <w:kern w:val="0"/>
                <w:sz w:val="24"/>
                <w:szCs w:val="24"/>
                <w:lang w:val="en-US" w:eastAsia="zh-CN" w:bidi="ar"/>
              </w:rPr>
              <w:t>二、本月土地成交情况</w:t>
            </w:r>
            <w:bookmarkEnd w:id="4"/>
          </w:p>
          <w:p>
            <w:pPr>
              <w:pStyle w:val="2"/>
              <w:keepNext w:val="0"/>
              <w:keepLines w:val="0"/>
              <w:widowControl/>
              <w:suppressLineNumbers w:val="0"/>
              <w:spacing w:before="0" w:beforeAutospacing="1" w:after="0" w:afterAutospacing="1" w:line="288" w:lineRule="atLeast"/>
              <w:ind w:left="0" w:right="0" w:firstLine="420"/>
            </w:pPr>
            <w:r>
              <w:rPr>
                <w:rFonts w:hint="eastAsia" w:ascii="宋体" w:hAnsi="宋体" w:eastAsia="宋体" w:cs="宋体"/>
                <w:b/>
                <w:caps w:val="0"/>
                <w:spacing w:val="0"/>
                <w:sz w:val="21"/>
                <w:szCs w:val="21"/>
              </w:rPr>
              <w:t>本月共成交土地</w:t>
            </w:r>
            <w:r>
              <w:rPr>
                <w:rFonts w:hint="default" w:ascii="Times New Roman" w:hAnsi="Times New Roman" w:eastAsia="宋体" w:cs="Times New Roman"/>
                <w:b/>
                <w:caps w:val="0"/>
                <w:spacing w:val="0"/>
                <w:sz w:val="21"/>
                <w:szCs w:val="21"/>
                <w:lang w:val="en-US"/>
              </w:rPr>
              <w:t>3</w:t>
            </w:r>
            <w:r>
              <w:rPr>
                <w:rFonts w:hint="eastAsia" w:ascii="宋体" w:hAnsi="宋体" w:eastAsia="宋体" w:cs="宋体"/>
                <w:b/>
                <w:caps w:val="0"/>
                <w:spacing w:val="0"/>
                <w:sz w:val="21"/>
                <w:szCs w:val="21"/>
              </w:rPr>
              <w:t>宗，成交土地面积</w:t>
            </w:r>
            <w:r>
              <w:rPr>
                <w:rFonts w:hint="default" w:ascii="Times New Roman" w:hAnsi="Times New Roman" w:eastAsia="宋体" w:cs="Times New Roman"/>
                <w:b/>
                <w:caps w:val="0"/>
                <w:spacing w:val="0"/>
                <w:sz w:val="21"/>
                <w:szCs w:val="21"/>
                <w:lang w:val="en-US"/>
              </w:rPr>
              <w:t>15227.5</w:t>
            </w:r>
            <w:r>
              <w:rPr>
                <w:rFonts w:hint="eastAsia" w:ascii="宋体" w:hAnsi="宋体" w:eastAsia="宋体" w:cs="宋体"/>
                <w:b/>
                <w:caps w:val="0"/>
                <w:spacing w:val="0"/>
                <w:sz w:val="21"/>
                <w:szCs w:val="21"/>
              </w:rPr>
              <w:t>㎡，成交总额</w:t>
            </w:r>
            <w:r>
              <w:rPr>
                <w:rFonts w:hint="default" w:ascii="Times New Roman" w:hAnsi="Times New Roman" w:eastAsia="宋体" w:cs="Times New Roman"/>
                <w:b/>
                <w:caps w:val="0"/>
                <w:spacing w:val="0"/>
                <w:sz w:val="21"/>
                <w:szCs w:val="21"/>
                <w:lang w:val="en-US"/>
              </w:rPr>
              <w:t>1867</w:t>
            </w:r>
            <w:r>
              <w:rPr>
                <w:rFonts w:hint="eastAsia" w:ascii="宋体" w:hAnsi="宋体" w:eastAsia="宋体" w:cs="宋体"/>
                <w:b/>
                <w:caps w:val="0"/>
                <w:spacing w:val="0"/>
                <w:sz w:val="21"/>
                <w:szCs w:val="21"/>
              </w:rPr>
              <w:t>万元，成交均价约</w:t>
            </w:r>
            <w:r>
              <w:rPr>
                <w:rFonts w:hint="default" w:ascii="Times New Roman" w:hAnsi="Times New Roman" w:eastAsia="宋体" w:cs="Times New Roman"/>
                <w:b/>
                <w:caps w:val="0"/>
                <w:spacing w:val="0"/>
                <w:sz w:val="21"/>
                <w:szCs w:val="21"/>
                <w:lang w:val="en-US"/>
              </w:rPr>
              <w:t>81.74</w:t>
            </w:r>
            <w:r>
              <w:rPr>
                <w:rFonts w:hint="eastAsia" w:ascii="宋体" w:hAnsi="宋体" w:eastAsia="宋体" w:cs="宋体"/>
                <w:b/>
                <w:caps w:val="0"/>
                <w:spacing w:val="0"/>
                <w:sz w:val="21"/>
                <w:szCs w:val="21"/>
              </w:rPr>
              <w:t>万元</w:t>
            </w:r>
            <w:r>
              <w:rPr>
                <w:rFonts w:hint="default" w:ascii="Times New Roman" w:hAnsi="Times New Roman" w:eastAsia="宋体" w:cs="Times New Roman"/>
                <w:b/>
                <w:caps w:val="0"/>
                <w:spacing w:val="0"/>
                <w:sz w:val="21"/>
                <w:szCs w:val="21"/>
                <w:lang w:val="en-US"/>
              </w:rPr>
              <w:t>/</w:t>
            </w:r>
            <w:r>
              <w:rPr>
                <w:rFonts w:hint="eastAsia" w:ascii="宋体" w:hAnsi="宋体" w:eastAsia="宋体" w:cs="宋体"/>
                <w:b/>
                <w:caps w:val="0"/>
                <w:spacing w:val="0"/>
                <w:sz w:val="21"/>
                <w:szCs w:val="21"/>
              </w:rPr>
              <w:t>亩。成交地块有</w:t>
            </w:r>
            <w:r>
              <w:rPr>
                <w:rFonts w:hint="default" w:ascii="Times New Roman" w:hAnsi="Times New Roman" w:eastAsia="宋体" w:cs="Times New Roman"/>
                <w:b/>
                <w:caps w:val="0"/>
                <w:spacing w:val="0"/>
                <w:sz w:val="21"/>
                <w:szCs w:val="21"/>
                <w:lang w:val="en-US"/>
              </w:rPr>
              <w:t>1</w:t>
            </w:r>
            <w:r>
              <w:rPr>
                <w:rFonts w:hint="eastAsia" w:ascii="宋体" w:hAnsi="宋体" w:eastAsia="宋体" w:cs="宋体"/>
                <w:b/>
                <w:caps w:val="0"/>
                <w:spacing w:val="0"/>
                <w:sz w:val="21"/>
                <w:szCs w:val="21"/>
              </w:rPr>
              <w:t>宗商业用地，</w:t>
            </w:r>
            <w:r>
              <w:rPr>
                <w:rFonts w:hint="default" w:ascii="Times New Roman" w:hAnsi="Times New Roman" w:eastAsia="宋体" w:cs="Times New Roman"/>
                <w:b/>
                <w:caps w:val="0"/>
                <w:spacing w:val="0"/>
                <w:sz w:val="21"/>
                <w:szCs w:val="21"/>
                <w:lang w:val="en-US"/>
              </w:rPr>
              <w:t>2</w:t>
            </w:r>
            <w:r>
              <w:rPr>
                <w:rFonts w:hint="eastAsia" w:ascii="宋体" w:hAnsi="宋体" w:eastAsia="宋体" w:cs="宋体"/>
                <w:b/>
                <w:caps w:val="0"/>
                <w:spacing w:val="0"/>
                <w:sz w:val="21"/>
                <w:szCs w:val="21"/>
              </w:rPr>
              <w:t>宗商住用地，低溢价率较前期有所增长。</w:t>
            </w:r>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14"/>
                <w:szCs w:val="14"/>
              </w:rPr>
              <w:t>表3：成交地块详情</w:t>
            </w:r>
            <w:r>
              <w:rPr>
                <w:rFonts w:hint="default" w:ascii="Times New Roman" w:hAnsi="Times New Roman" w:eastAsia="宋体" w:cs="Times New Roman"/>
                <w:b/>
                <w:caps w:val="0"/>
                <w:spacing w:val="0"/>
                <w:sz w:val="24"/>
                <w:szCs w:val="24"/>
                <w:lang w:val="en-US"/>
              </w:rPr>
              <w:t>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14"/>
              <w:gridCol w:w="1039"/>
              <w:gridCol w:w="1012"/>
              <w:gridCol w:w="936"/>
              <w:gridCol w:w="1296"/>
              <w:gridCol w:w="939"/>
              <w:gridCol w:w="939"/>
              <w:gridCol w:w="93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214"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地块编号</w:t>
                  </w:r>
                </w:p>
              </w:tc>
              <w:tc>
                <w:tcPr>
                  <w:tcW w:w="103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位置</w:t>
                  </w:r>
                </w:p>
              </w:tc>
              <w:tc>
                <w:tcPr>
                  <w:tcW w:w="1012"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面积/㎡</w:t>
                  </w:r>
                </w:p>
              </w:tc>
              <w:tc>
                <w:tcPr>
                  <w:tcW w:w="93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用途</w:t>
                  </w:r>
                </w:p>
              </w:tc>
              <w:tc>
                <w:tcPr>
                  <w:tcW w:w="129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成交时间</w:t>
                  </w:r>
                </w:p>
              </w:tc>
              <w:tc>
                <w:tcPr>
                  <w:tcW w:w="93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起始价（万）</w:t>
                  </w:r>
                </w:p>
              </w:tc>
              <w:tc>
                <w:tcPr>
                  <w:tcW w:w="93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成交价（万）</w:t>
                  </w:r>
                </w:p>
              </w:tc>
              <w:tc>
                <w:tcPr>
                  <w:tcW w:w="9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竞得人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jc w:val="center"/>
              </w:trPr>
              <w:tc>
                <w:tcPr>
                  <w:tcW w:w="12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[2013]11号</w:t>
                  </w:r>
                </w:p>
              </w:tc>
              <w:tc>
                <w:tcPr>
                  <w:tcW w:w="10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新港大道</w:t>
                  </w:r>
                </w:p>
              </w:tc>
              <w:tc>
                <w:tcPr>
                  <w:tcW w:w="10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3300</w:t>
                  </w:r>
                </w:p>
              </w:tc>
              <w:tc>
                <w:tcPr>
                  <w:tcW w:w="9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商业 居住</w:t>
                  </w: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2013-5-15</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390</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397</w:t>
                  </w:r>
                </w:p>
              </w:tc>
              <w:tc>
                <w:tcPr>
                  <w:tcW w:w="93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湖北黄冈状元</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房地产开发</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jc w:val="center"/>
              </w:trPr>
              <w:tc>
                <w:tcPr>
                  <w:tcW w:w="12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2013-8-1</w:t>
                  </w:r>
                </w:p>
              </w:tc>
              <w:tc>
                <w:tcPr>
                  <w:tcW w:w="10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团黄大道以东</w:t>
                  </w:r>
                </w:p>
              </w:tc>
              <w:tc>
                <w:tcPr>
                  <w:tcW w:w="10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8400</w:t>
                  </w:r>
                </w:p>
              </w:tc>
              <w:tc>
                <w:tcPr>
                  <w:tcW w:w="9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商业</w:t>
                  </w: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2013-5-16</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548</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610</w:t>
                  </w:r>
                </w:p>
              </w:tc>
              <w:tc>
                <w:tcPr>
                  <w:tcW w:w="93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黄冈新捷天然气有限公司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jc w:val="center"/>
              </w:trPr>
              <w:tc>
                <w:tcPr>
                  <w:tcW w:w="12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[2013]12号</w:t>
                  </w:r>
                </w:p>
              </w:tc>
              <w:tc>
                <w:tcPr>
                  <w:tcW w:w="10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宝塔大道与西湖四路交界处东南角</w:t>
                  </w:r>
                </w:p>
              </w:tc>
              <w:tc>
                <w:tcPr>
                  <w:tcW w:w="10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3527.5</w:t>
                  </w:r>
                </w:p>
              </w:tc>
              <w:tc>
                <w:tcPr>
                  <w:tcW w:w="9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商业 居住</w:t>
                  </w: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2013-5-28</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565</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860</w:t>
                  </w:r>
                </w:p>
              </w:tc>
              <w:tc>
                <w:tcPr>
                  <w:tcW w:w="93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湖北玉环房地产开发有限公司</w:t>
                  </w:r>
                </w:p>
              </w:tc>
            </w:tr>
          </w:tbl>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14"/>
                <w:szCs w:val="14"/>
              </w:rPr>
              <w:t>    </w:t>
            </w:r>
          </w:p>
          <w:p>
            <w:pPr>
              <w:pStyle w:val="2"/>
              <w:keepNext w:val="0"/>
              <w:keepLines w:val="0"/>
              <w:widowControl/>
              <w:suppressLineNumbers w:val="0"/>
              <w:spacing w:before="0" w:beforeAutospacing="1" w:after="0" w:afterAutospacing="1" w:line="288" w:lineRule="atLeast"/>
              <w:ind w:left="0" w:right="0" w:firstLine="420"/>
              <w:jc w:val="both"/>
            </w:pP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黄冈土地市场供应量、成交量均有所回升，溢价率水平有所提升。近几年，黄冈市严格执行国家对房地产市场的调控，严格控制土地利用，市场放量平稳，但数月以来市场回升使开发商拿地较积极。溢价率有所抬升，但出让、成交均以商业、工业为主。</w:t>
            </w:r>
          </w:p>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aps w:val="0"/>
                <w:spacing w:val="0"/>
                <w:kern w:val="0"/>
                <w:sz w:val="24"/>
                <w:szCs w:val="24"/>
                <w:lang w:val="en-US" w:eastAsia="zh-CN" w:bidi="ar"/>
              </w:rPr>
              <w:t>第三部分  黄冈楼市供求分析</w:t>
            </w:r>
          </w:p>
          <w:p>
            <w:pPr>
              <w:keepNext w:val="0"/>
              <w:keepLines w:val="0"/>
              <w:widowControl/>
              <w:suppressLineNumbers w:val="0"/>
              <w:spacing w:before="0" w:beforeAutospacing="1" w:after="0" w:afterAutospacing="1" w:line="216" w:lineRule="atLeast"/>
              <w:ind w:left="0" w:right="281" w:firstLine="417"/>
              <w:jc w:val="left"/>
            </w:pPr>
            <w:bookmarkStart w:id="5" w:name="_Toc17547"/>
            <w:r>
              <w:rPr>
                <w:rFonts w:hint="eastAsia" w:ascii="宋体" w:hAnsi="宋体" w:eastAsia="宋体" w:cs="宋体"/>
                <w:b/>
                <w:caps w:val="0"/>
                <w:spacing w:val="0"/>
                <w:kern w:val="0"/>
                <w:sz w:val="24"/>
                <w:szCs w:val="24"/>
                <w:lang w:val="en-US" w:eastAsia="zh-CN" w:bidi="ar"/>
              </w:rPr>
              <w:t>一、住宅成交情况</w:t>
            </w:r>
            <w:bookmarkEnd w:id="5"/>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4</w:t>
            </w:r>
            <w:r>
              <w:rPr>
                <w:rFonts w:hint="eastAsia" w:ascii="宋体" w:hAnsi="宋体" w:eastAsia="宋体" w:cs="宋体"/>
                <w:b/>
                <w:caps w:val="0"/>
                <w:spacing w:val="0"/>
                <w:sz w:val="21"/>
                <w:szCs w:val="21"/>
              </w:rPr>
              <w:t>：</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月黄冈市商品房住宅交易情况对照表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57"/>
              <w:gridCol w:w="2080"/>
              <w:gridCol w:w="2088"/>
              <w:gridCol w:w="20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jc w:val="center"/>
              </w:trPr>
              <w:tc>
                <w:tcPr>
                  <w:tcW w:w="2057"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综合信息</w:t>
                  </w:r>
                </w:p>
              </w:tc>
              <w:tc>
                <w:tcPr>
                  <w:tcW w:w="208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成交总套数（套）</w:t>
                  </w:r>
                </w:p>
              </w:tc>
              <w:tc>
                <w:tcPr>
                  <w:tcW w:w="208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成交总面积（㎡）</w:t>
                  </w:r>
                </w:p>
              </w:tc>
              <w:tc>
                <w:tcPr>
                  <w:tcW w:w="2081"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成交均价（元/㎡）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jc w:val="center"/>
              </w:trPr>
              <w:tc>
                <w:tcPr>
                  <w:tcW w:w="20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2013年5月</w:t>
                  </w:r>
                </w:p>
              </w:tc>
              <w:tc>
                <w:tcPr>
                  <w:tcW w:w="208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813</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86568.18</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3734.67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35" w:hRule="atLeast"/>
                <w:jc w:val="center"/>
              </w:trPr>
              <w:tc>
                <w:tcPr>
                  <w:tcW w:w="20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2013年4月</w:t>
                  </w:r>
                </w:p>
              </w:tc>
              <w:tc>
                <w:tcPr>
                  <w:tcW w:w="208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379</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41917.49</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4018.02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jc w:val="center"/>
              </w:trPr>
              <w:tc>
                <w:tcPr>
                  <w:tcW w:w="20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环比</w:t>
                  </w:r>
                </w:p>
              </w:tc>
              <w:tc>
                <w:tcPr>
                  <w:tcW w:w="208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114.51%</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106.52%</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-7.05%</w:t>
                  </w:r>
                </w:p>
              </w:tc>
            </w:tr>
          </w:tbl>
          <w:p>
            <w:pPr>
              <w:keepNext w:val="0"/>
              <w:keepLines w:val="0"/>
              <w:widowControl/>
              <w:suppressLineNumbers w:val="0"/>
              <w:spacing w:before="0" w:beforeAutospacing="1" w:after="0" w:afterAutospacing="1" w:line="216" w:lineRule="atLeast"/>
              <w:ind w:left="0" w:right="281" w:firstLine="417"/>
              <w:jc w:val="left"/>
            </w:pPr>
            <w:r>
              <w:rPr>
                <w:rFonts w:hint="eastAsia" w:ascii="宋体" w:hAnsi="宋体" w:eastAsia="宋体" w:cs="宋体"/>
                <w:b/>
                <w:caps w:val="0"/>
                <w:spacing w:val="0"/>
                <w:kern w:val="0"/>
                <w:sz w:val="24"/>
                <w:szCs w:val="24"/>
                <w:lang w:val="en-US" w:eastAsia="zh-CN" w:bidi="ar"/>
              </w:rPr>
              <w:t>二、商铺成交情况</w:t>
            </w:r>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月黄冈市商品房商铺交易情况对照表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59"/>
              <w:gridCol w:w="2074"/>
              <w:gridCol w:w="2082"/>
              <w:gridCol w:w="20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3" w:hRule="atLeast"/>
                <w:jc w:val="center"/>
              </w:trPr>
              <w:tc>
                <w:tcPr>
                  <w:tcW w:w="2059"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综合信息</w:t>
                  </w:r>
                </w:p>
              </w:tc>
              <w:tc>
                <w:tcPr>
                  <w:tcW w:w="207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成交总套数（套）</w:t>
                  </w:r>
                </w:p>
              </w:tc>
              <w:tc>
                <w:tcPr>
                  <w:tcW w:w="2082"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成交总面积（㎡）</w:t>
                  </w:r>
                </w:p>
              </w:tc>
              <w:tc>
                <w:tcPr>
                  <w:tcW w:w="2091"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成交均价（元/㎡）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6" w:hRule="atLeast"/>
                <w:jc w:val="center"/>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2013年5月</w:t>
                  </w:r>
                </w:p>
              </w:tc>
              <w:tc>
                <w:tcPr>
                  <w:tcW w:w="2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98</w:t>
                  </w:r>
                </w:p>
              </w:tc>
              <w:tc>
                <w:tcPr>
                  <w:tcW w:w="208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6208.1</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9491.1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6" w:hRule="atLeast"/>
                <w:jc w:val="center"/>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2013年4月</w:t>
                  </w:r>
                </w:p>
              </w:tc>
              <w:tc>
                <w:tcPr>
                  <w:tcW w:w="2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w:t>
                  </w:r>
                </w:p>
              </w:tc>
              <w:tc>
                <w:tcPr>
                  <w:tcW w:w="208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6295.45</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11715.31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6" w:hRule="atLeast"/>
                <w:jc w:val="center"/>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环比</w:t>
                  </w:r>
                </w:p>
              </w:tc>
              <w:tc>
                <w:tcPr>
                  <w:tcW w:w="2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208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-1.388%</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-18.985%</w:t>
                  </w:r>
                </w:p>
              </w:tc>
            </w:tr>
          </w:tbl>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14"/>
                <w:szCs w:val="14"/>
              </w:rPr>
              <w:t>  </w:t>
            </w:r>
          </w:p>
          <w:p>
            <w:pPr>
              <w:keepNext w:val="0"/>
              <w:keepLines w:val="0"/>
              <w:widowControl/>
              <w:suppressLineNumbers w:val="0"/>
              <w:spacing w:before="0" w:beforeAutospacing="1" w:after="0" w:afterAutospacing="1" w:line="216" w:lineRule="atLeast"/>
              <w:ind w:left="0" w:right="281" w:firstLine="422"/>
              <w:jc w:val="left"/>
            </w:pPr>
            <w:bookmarkStart w:id="6" w:name="_Toc30492"/>
            <w:r>
              <w:rPr>
                <w:rFonts w:hint="eastAsia" w:ascii="宋体" w:hAnsi="宋体" w:eastAsia="宋体" w:cs="宋体"/>
                <w:b/>
                <w:caps w:val="0"/>
                <w:color w:val="000000"/>
                <w:spacing w:val="0"/>
                <w:kern w:val="0"/>
                <w:sz w:val="24"/>
                <w:szCs w:val="24"/>
                <w:lang w:val="en-US" w:eastAsia="zh-CN" w:bidi="ar"/>
              </w:rPr>
              <w:t>四、新增供应楼盘</w:t>
            </w:r>
            <w:bookmarkEnd w:id="6"/>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b/>
                <w:caps w:val="0"/>
                <w:color w:val="000000"/>
                <w:spacing w:val="0"/>
                <w:kern w:val="0"/>
                <w:sz w:val="24"/>
                <w:szCs w:val="24"/>
                <w:lang w:val="en-US" w:eastAsia="zh-CN" w:bidi="ar"/>
              </w:rPr>
              <w:t>2013年5月楼盘办理预售许可</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018"/>
              <w:gridCol w:w="1224"/>
              <w:gridCol w:w="1112"/>
              <w:gridCol w:w="1397"/>
              <w:gridCol w:w="1197"/>
              <w:gridCol w:w="1418"/>
              <w:gridCol w:w="9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12" w:hRule="atLeast"/>
                <w:jc w:val="center"/>
              </w:trPr>
              <w:tc>
                <w:tcPr>
                  <w:tcW w:w="1018"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122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项目地址</w:t>
                  </w:r>
                </w:p>
              </w:tc>
              <w:tc>
                <w:tcPr>
                  <w:tcW w:w="1112"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开发单位</w:t>
                  </w:r>
                </w:p>
              </w:tc>
              <w:tc>
                <w:tcPr>
                  <w:tcW w:w="139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预售证号</w:t>
                  </w:r>
                </w:p>
              </w:tc>
              <w:tc>
                <w:tcPr>
                  <w:tcW w:w="119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预售楼栋</w:t>
                  </w:r>
                </w:p>
              </w:tc>
              <w:tc>
                <w:tcPr>
                  <w:tcW w:w="141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预售面积（㎡）</w:t>
                  </w:r>
                </w:p>
              </w:tc>
              <w:tc>
                <w:tcPr>
                  <w:tcW w:w="94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发证</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5" w:hRule="atLeast"/>
                <w:jc w:val="center"/>
              </w:trPr>
              <w:tc>
                <w:tcPr>
                  <w:tcW w:w="8306" w:type="dxa"/>
                  <w:gridSpan w:val="7"/>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无</w:t>
                  </w:r>
                </w:p>
              </w:tc>
            </w:tr>
          </w:tbl>
          <w:p>
            <w:pPr>
              <w:keepNext w:val="0"/>
              <w:keepLines w:val="0"/>
              <w:widowControl/>
              <w:suppressLineNumbers w:val="0"/>
              <w:spacing w:line="24" w:lineRule="atLeast"/>
              <w:ind w:left="0" w:firstLine="0"/>
              <w:jc w:val="center"/>
              <w:rPr>
                <w:rFonts w:hint="eastAsia" w:ascii="宋体" w:hAnsi="宋体" w:eastAsia="宋体" w:cs="宋体"/>
                <w:b/>
                <w:caps w:val="0"/>
                <w:spacing w:val="0"/>
                <w:sz w:val="14"/>
                <w:szCs w:val="14"/>
              </w:rPr>
            </w:pPr>
            <w:r>
              <w:rPr>
                <w:rFonts w:hint="eastAsia" w:ascii="宋体" w:hAnsi="宋体" w:eastAsia="宋体" w:cs="宋体"/>
                <w:b/>
                <w:caps w:val="0"/>
                <w:color w:val="000000"/>
                <w:spacing w:val="0"/>
                <w:kern w:val="0"/>
                <w:sz w:val="14"/>
                <w:szCs w:val="14"/>
                <w:lang w:val="en-US" w:eastAsia="zh-CN" w:bidi="ar"/>
              </w:rPr>
              <w:t> </w:t>
            </w:r>
          </w:p>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b/>
                <w:caps w:val="0"/>
                <w:color w:val="000000"/>
                <w:spacing w:val="0"/>
                <w:kern w:val="0"/>
                <w:sz w:val="24"/>
                <w:szCs w:val="24"/>
                <w:lang w:val="en-US" w:eastAsia="zh-CN" w:bidi="ar"/>
              </w:rPr>
              <w:t>2013年5月新上市房源情况 </w:t>
            </w:r>
          </w:p>
          <w:p>
            <w:pPr>
              <w:keepNext w:val="0"/>
              <w:keepLines w:val="0"/>
              <w:widowControl/>
              <w:suppressLineNumbers w:val="0"/>
              <w:spacing w:before="0" w:beforeAutospacing="1" w:after="0" w:afterAutospacing="1" w:line="216" w:lineRule="atLeast"/>
              <w:ind w:left="0" w:right="0" w:firstLine="113"/>
              <w:jc w:val="left"/>
            </w:pPr>
            <w:r>
              <w:rPr>
                <w:rFonts w:hint="default" w:ascii="Wingdings" w:hAnsi="Wingdings" w:eastAsia="宋体" w:cs="Wingdings"/>
                <w:b/>
                <w:caps w:val="0"/>
                <w:color w:val="000000"/>
                <w:spacing w:val="0"/>
                <w:kern w:val="0"/>
                <w:sz w:val="24"/>
                <w:szCs w:val="24"/>
                <w:lang w:val="en-US" w:eastAsia="zh-CN" w:bidi="ar"/>
              </w:rPr>
              <w:t>l</w:t>
            </w:r>
            <w:r>
              <w:rPr>
                <w:rFonts w:hint="default" w:ascii="Times New Roman" w:hAnsi="Times New Roman" w:eastAsia="宋体" w:cs="Times New Roman"/>
                <w:b/>
                <w:caps w:val="0"/>
                <w:color w:val="000000"/>
                <w:spacing w:val="0"/>
                <w:kern w:val="0"/>
                <w:sz w:val="14"/>
                <w:szCs w:val="14"/>
                <w:lang w:val="en-US" w:eastAsia="zh-CN" w:bidi="ar"/>
              </w:rPr>
              <w:t>     </w:t>
            </w:r>
            <w:r>
              <w:rPr>
                <w:rFonts w:hint="eastAsia" w:ascii="宋体" w:hAnsi="宋体" w:eastAsia="宋体" w:cs="宋体"/>
                <w:b/>
                <w:caps w:val="0"/>
                <w:color w:val="000000"/>
                <w:spacing w:val="0"/>
                <w:kern w:val="0"/>
                <w:sz w:val="24"/>
                <w:szCs w:val="24"/>
                <w:lang w:val="en-US" w:eastAsia="zh-CN" w:bidi="ar"/>
              </w:rPr>
              <w:t>金家·上城</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33"/>
              <w:gridCol w:w="1558"/>
              <w:gridCol w:w="1898"/>
              <w:gridCol w:w="1053"/>
              <w:gridCol w:w="1387"/>
              <w:gridCol w:w="117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233"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项目名称</w:t>
                  </w:r>
                </w:p>
              </w:tc>
              <w:tc>
                <w:tcPr>
                  <w:tcW w:w="155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地址</w:t>
                  </w:r>
                </w:p>
              </w:tc>
              <w:tc>
                <w:tcPr>
                  <w:tcW w:w="189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开发单位</w:t>
                  </w:r>
                </w:p>
              </w:tc>
              <w:tc>
                <w:tcPr>
                  <w:tcW w:w="105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推出套数</w:t>
                  </w:r>
                </w:p>
              </w:tc>
              <w:tc>
                <w:tcPr>
                  <w:tcW w:w="138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5月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已售套数</w:t>
                  </w:r>
                </w:p>
              </w:tc>
              <w:tc>
                <w:tcPr>
                  <w:tcW w:w="117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开盘时间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2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金家·上城</w:t>
                  </w:r>
                </w:p>
              </w:tc>
              <w:tc>
                <w:tcPr>
                  <w:tcW w:w="155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黄冈市开发区</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明珠大道18号</w:t>
                  </w:r>
                </w:p>
              </w:tc>
              <w:tc>
                <w:tcPr>
                  <w:tcW w:w="189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黄冈金家房地产开发有限公司</w:t>
                  </w:r>
                </w:p>
              </w:tc>
              <w:tc>
                <w:tcPr>
                  <w:tcW w:w="105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260</w:t>
                  </w:r>
                </w:p>
              </w:tc>
              <w:tc>
                <w:tcPr>
                  <w:tcW w:w="138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80</w:t>
                  </w:r>
                </w:p>
              </w:tc>
              <w:tc>
                <w:tcPr>
                  <w:tcW w:w="117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2013-5-1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988" w:hRule="atLeast"/>
                <w:jc w:val="center"/>
              </w:trPr>
              <w:tc>
                <w:tcPr>
                  <w:tcW w:w="123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jc w:val="center"/>
                  </w:pPr>
                  <w:r>
                    <w:rPr>
                      <w:rFonts w:hint="eastAsia" w:ascii="宋体" w:hAnsi="宋体" w:eastAsia="宋体" w:cs="宋体"/>
                      <w:b/>
                      <w:kern w:val="0"/>
                      <w:sz w:val="24"/>
                      <w:szCs w:val="24"/>
                      <w:lang w:val="en-US" w:eastAsia="zh-CN" w:bidi="ar"/>
                    </w:rPr>
                    <w:t>项目信息</w:t>
                  </w:r>
                </w:p>
              </w:tc>
              <w:tc>
                <w:tcPr>
                  <w:tcW w:w="7073"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金家•上城紧靠遗爱湖，面朝长江；临湖望江，得天独厚，是目前黄州市区高档楼盘之一，一期8栋12-22层高层，二期由9栋13-26层高层组成，打造超奢华6米挑高双入户五星级大堂和78-155㎡可拓展奢阔尺度。内部建设配套齐全，社区专属星级会所，棋牌室、健身房、瑜伽室、台球室、咖啡吧及书吧等多元功能区间。</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kern w:val="0"/>
                      <w:sz w:val="24"/>
                      <w:szCs w:val="24"/>
                      <w:lang w:val="en-US" w:eastAsia="zh-CN" w:bidi="ar"/>
                    </w:rPr>
                    <w:t>金家•上城此次开盘推出10#楼，24-62平米的小户型，约260套房源，均价为4800元/平米。</w:t>
                  </w:r>
                </w:p>
              </w:tc>
            </w:tr>
          </w:tbl>
          <w:p>
            <w:pPr>
              <w:keepNext w:val="0"/>
              <w:keepLines w:val="0"/>
              <w:widowControl/>
              <w:suppressLineNumbers w:val="0"/>
              <w:spacing w:before="0" w:beforeAutospacing="1" w:after="0" w:afterAutospacing="1" w:line="216" w:lineRule="atLeast"/>
              <w:ind w:left="0" w:right="0" w:firstLine="113"/>
              <w:jc w:val="left"/>
            </w:pPr>
            <w:r>
              <w:rPr>
                <w:rFonts w:hint="default" w:ascii="Wingdings" w:hAnsi="Wingdings" w:eastAsia="宋体" w:cs="Wingdings"/>
                <w:b/>
                <w:caps w:val="0"/>
                <w:color w:val="000000"/>
                <w:spacing w:val="0"/>
                <w:kern w:val="0"/>
                <w:sz w:val="24"/>
                <w:szCs w:val="24"/>
                <w:lang w:val="en-US" w:eastAsia="zh-CN" w:bidi="ar"/>
              </w:rPr>
              <w:t>l</w:t>
            </w:r>
            <w:r>
              <w:rPr>
                <w:rFonts w:hint="default" w:ascii="Times New Roman" w:hAnsi="Times New Roman" w:eastAsia="宋体" w:cs="Times New Roman"/>
                <w:b/>
                <w:caps w:val="0"/>
                <w:color w:val="000000"/>
                <w:spacing w:val="0"/>
                <w:kern w:val="0"/>
                <w:sz w:val="14"/>
                <w:szCs w:val="14"/>
                <w:lang w:val="en-US" w:eastAsia="zh-CN" w:bidi="ar"/>
              </w:rPr>
              <w:t>     </w:t>
            </w:r>
            <w:r>
              <w:rPr>
                <w:rFonts w:hint="eastAsia" w:ascii="宋体" w:hAnsi="宋体" w:eastAsia="宋体" w:cs="宋体"/>
                <w:b/>
                <w:caps w:val="0"/>
                <w:color w:val="000000"/>
                <w:spacing w:val="0"/>
                <w:kern w:val="0"/>
                <w:sz w:val="24"/>
                <w:szCs w:val="24"/>
                <w:lang w:val="en-US" w:eastAsia="zh-CN" w:bidi="ar"/>
              </w:rPr>
              <w:t>福城·清华花园</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21"/>
              <w:gridCol w:w="2138"/>
              <w:gridCol w:w="1258"/>
              <w:gridCol w:w="987"/>
              <w:gridCol w:w="1111"/>
              <w:gridCol w:w="13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421"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213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地址</w:t>
                  </w:r>
                </w:p>
              </w:tc>
              <w:tc>
                <w:tcPr>
                  <w:tcW w:w="125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开发单位</w:t>
                  </w:r>
                </w:p>
              </w:tc>
              <w:tc>
                <w:tcPr>
                  <w:tcW w:w="98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推出套数</w:t>
                  </w:r>
                </w:p>
              </w:tc>
              <w:tc>
                <w:tcPr>
                  <w:tcW w:w="1111"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5月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已售套数</w:t>
                  </w:r>
                </w:p>
              </w:tc>
              <w:tc>
                <w:tcPr>
                  <w:tcW w:w="1391"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开盘时间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4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福城·清华   花园</w:t>
                  </w:r>
                </w:p>
              </w:tc>
              <w:tc>
                <w:tcPr>
                  <w:tcW w:w="213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黄州新港大道与东门路交汇处</w:t>
                  </w:r>
                </w:p>
              </w:tc>
              <w:tc>
                <w:tcPr>
                  <w:tcW w:w="125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黄冈市福城房地产有限公司</w:t>
                  </w:r>
                </w:p>
              </w:tc>
              <w:tc>
                <w:tcPr>
                  <w:tcW w:w="98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404</w:t>
                  </w:r>
                </w:p>
              </w:tc>
              <w:tc>
                <w:tcPr>
                  <w:tcW w:w="111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70</w:t>
                  </w:r>
                </w:p>
              </w:tc>
              <w:tc>
                <w:tcPr>
                  <w:tcW w:w="13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2013-5-11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8" w:hRule="atLeast"/>
                <w:jc w:val="center"/>
              </w:trPr>
              <w:tc>
                <w:tcPr>
                  <w:tcW w:w="14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jc w:val="center"/>
                  </w:pPr>
                  <w:r>
                    <w:rPr>
                      <w:rFonts w:hint="eastAsia" w:ascii="宋体" w:hAnsi="宋体" w:eastAsia="宋体" w:cs="宋体"/>
                      <w:b/>
                      <w:color w:val="000000"/>
                      <w:kern w:val="0"/>
                      <w:sz w:val="24"/>
                      <w:szCs w:val="24"/>
                      <w:lang w:val="en-US" w:eastAsia="zh-CN" w:bidi="ar"/>
                    </w:rPr>
                    <w:t>项目信息</w:t>
                  </w:r>
                </w:p>
              </w:tc>
              <w:tc>
                <w:tcPr>
                  <w:tcW w:w="68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color w:val="000000"/>
                      <w:kern w:val="0"/>
                      <w:sz w:val="24"/>
                      <w:szCs w:val="24"/>
                      <w:lang w:val="en-US" w:eastAsia="zh-CN" w:bidi="ar"/>
                    </w:rPr>
                    <w:t>位于黄州新港大道与东门路交汇处，占地面积12000余平方米，总建筑面积49400余平方米，绿化率30.2%，容积率4.1，是集住宅、商业、办公于一体的综合性项目。清华花园整个小区由三栋框架结构的点状蝶形高层建筑物组成，采用低碳、节能、环保建筑材料，楼栋间距50米以上。项目择名校为邻，周边名校遍布，地处黄州行政特区中，东方广场、黄州烟草、中国电信WIFI全覆盖、中国农行、中国人寿旁，项目还设计8000平方米配套商业，配套较为齐全。</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color w:val="000000"/>
                      <w:kern w:val="0"/>
                      <w:sz w:val="24"/>
                      <w:szCs w:val="24"/>
                      <w:lang w:val="en-US" w:eastAsia="zh-CN" w:bidi="ar"/>
                    </w:rPr>
                    <w:t>5月11日，清华花园盛大开盘，均价4300元/㎡。</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color w:val="000000"/>
                      <w:kern w:val="0"/>
                      <w:sz w:val="24"/>
                      <w:szCs w:val="24"/>
                      <w:lang w:val="en-US" w:eastAsia="zh-CN" w:bidi="ar"/>
                    </w:rPr>
                    <w:t> </w:t>
                  </w:r>
                </w:p>
              </w:tc>
            </w:tr>
          </w:tbl>
          <w:p>
            <w:pPr>
              <w:keepNext w:val="0"/>
              <w:keepLines w:val="0"/>
              <w:widowControl/>
              <w:suppressLineNumbers w:val="0"/>
              <w:spacing w:before="0" w:beforeAutospacing="1" w:after="0" w:afterAutospacing="1" w:line="216" w:lineRule="atLeast"/>
              <w:ind w:left="0" w:right="0" w:firstLine="113"/>
              <w:jc w:val="left"/>
            </w:pPr>
            <w:r>
              <w:rPr>
                <w:rFonts w:hint="default" w:ascii="Wingdings" w:hAnsi="Wingdings" w:eastAsia="宋体" w:cs="Wingdings"/>
                <w:b/>
                <w:caps w:val="0"/>
                <w:color w:val="000000"/>
                <w:spacing w:val="0"/>
                <w:kern w:val="0"/>
                <w:sz w:val="24"/>
                <w:szCs w:val="24"/>
                <w:lang w:val="en-US" w:eastAsia="zh-CN" w:bidi="ar"/>
              </w:rPr>
              <w:t>l</w:t>
            </w:r>
            <w:r>
              <w:rPr>
                <w:rFonts w:hint="default" w:ascii="Times New Roman" w:hAnsi="Times New Roman" w:eastAsia="宋体" w:cs="Times New Roman"/>
                <w:b/>
                <w:caps w:val="0"/>
                <w:color w:val="000000"/>
                <w:spacing w:val="0"/>
                <w:kern w:val="0"/>
                <w:sz w:val="14"/>
                <w:szCs w:val="14"/>
                <w:lang w:val="en-US" w:eastAsia="zh-CN" w:bidi="ar"/>
              </w:rPr>
              <w:t>     </w:t>
            </w:r>
            <w:r>
              <w:rPr>
                <w:rFonts w:hint="eastAsia" w:ascii="宋体" w:hAnsi="宋体" w:eastAsia="宋体" w:cs="宋体"/>
                <w:b/>
                <w:caps w:val="0"/>
                <w:color w:val="000000"/>
                <w:spacing w:val="0"/>
                <w:kern w:val="0"/>
                <w:sz w:val="24"/>
                <w:szCs w:val="24"/>
                <w:lang w:val="en-US" w:eastAsia="zh-CN" w:bidi="ar"/>
              </w:rPr>
              <w:t>新世界广场</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59"/>
              <w:gridCol w:w="1930"/>
              <w:gridCol w:w="1437"/>
              <w:gridCol w:w="876"/>
              <w:gridCol w:w="1134"/>
              <w:gridCol w:w="15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359"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193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地址</w:t>
                  </w:r>
                </w:p>
              </w:tc>
              <w:tc>
                <w:tcPr>
                  <w:tcW w:w="143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开发单位</w:t>
                  </w:r>
                </w:p>
              </w:tc>
              <w:tc>
                <w:tcPr>
                  <w:tcW w:w="87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推出套数</w:t>
                  </w:r>
                </w:p>
              </w:tc>
              <w:tc>
                <w:tcPr>
                  <w:tcW w:w="113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5月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已售套数</w:t>
                  </w:r>
                </w:p>
              </w:tc>
              <w:tc>
                <w:tcPr>
                  <w:tcW w:w="157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开盘时间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3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新世界广场</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93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黄冈市八一路步行街旁（工商银行对面）</w:t>
                  </w:r>
                </w:p>
              </w:tc>
              <w:tc>
                <w:tcPr>
                  <w:tcW w:w="143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黄冈恒源置业</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有限公司</w:t>
                  </w:r>
                </w:p>
              </w:tc>
              <w:tc>
                <w:tcPr>
                  <w:tcW w:w="8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167</w:t>
                  </w:r>
                </w:p>
              </w:tc>
              <w:tc>
                <w:tcPr>
                  <w:tcW w:w="11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56</w:t>
                  </w:r>
                </w:p>
              </w:tc>
              <w:tc>
                <w:tcPr>
                  <w:tcW w:w="15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2013-5-18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498" w:hRule="atLeast"/>
                <w:jc w:val="center"/>
              </w:trPr>
              <w:tc>
                <w:tcPr>
                  <w:tcW w:w="13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项目信息</w:t>
                  </w:r>
                </w:p>
              </w:tc>
              <w:tc>
                <w:tcPr>
                  <w:tcW w:w="694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color w:val="000000"/>
                      <w:kern w:val="0"/>
                      <w:sz w:val="24"/>
                      <w:szCs w:val="24"/>
                      <w:lang w:val="en-US" w:eastAsia="zh-CN" w:bidi="ar"/>
                    </w:rPr>
                    <w:t>hello•新世界位于黄州商业中心——奥康商业步行街旁，周边配套十分丰富，中商、七一商场、中心医院、幼儿园、小学、中学、银行、移动营业厅、中国电信、中国联通等生活配套应有尽有，满足你所有生活需求。项目产品是目前市场上炙手可热的稀缺物业——35—119㎡金钻公寓，产品丰富、户型多样，涵盖一房、两房、三房、平层、复试，可自住可投资，升值潜力巨大。项目还配有地下停车场，让您在逛街的同时停车无忧，多路公交车在此设站， 1、2、5、9、18路公交通达全城，出行十分方便快捷。</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color w:val="000000"/>
                      <w:kern w:val="0"/>
                      <w:sz w:val="24"/>
                      <w:szCs w:val="24"/>
                      <w:lang w:val="en-US" w:eastAsia="zh-CN" w:bidi="ar"/>
                    </w:rPr>
                    <w:t>5月18日开盘，均价4300元/㎡。</w:t>
                  </w:r>
                </w:p>
              </w:tc>
            </w:tr>
          </w:tbl>
          <w:p>
            <w:pPr>
              <w:keepNext w:val="0"/>
              <w:keepLines w:val="0"/>
              <w:widowControl/>
              <w:suppressLineNumbers w:val="0"/>
              <w:spacing w:before="0" w:beforeAutospacing="1" w:after="0" w:afterAutospacing="1" w:line="180" w:lineRule="atLeast"/>
              <w:ind w:left="0" w:right="0"/>
              <w:jc w:val="left"/>
            </w:pPr>
            <w:r>
              <w:rPr>
                <w:rFonts w:hint="eastAsia" w:ascii="宋体" w:hAnsi="宋体" w:eastAsia="宋体" w:cs="宋体"/>
                <w:b/>
                <w:caps w:val="0"/>
                <w:color w:val="000000"/>
                <w:spacing w:val="0"/>
                <w:kern w:val="0"/>
                <w:sz w:val="24"/>
                <w:szCs w:val="24"/>
                <w:lang w:val="en-US" w:eastAsia="zh-CN" w:bidi="ar"/>
              </w:rPr>
              <w:t>  五、住宅成交价格分析</w:t>
            </w:r>
          </w:p>
          <w:p>
            <w:pPr>
              <w:keepNext w:val="0"/>
              <w:keepLines w:val="0"/>
              <w:widowControl/>
              <w:suppressLineNumbers w:val="0"/>
              <w:spacing w:line="24" w:lineRule="atLeast"/>
              <w:ind w:left="0" w:firstLine="0"/>
              <w:jc w:val="left"/>
              <w:rPr>
                <w:rFonts w:hint="eastAsia" w:ascii="宋体" w:hAnsi="宋体" w:eastAsia="宋体" w:cs="宋体"/>
                <w:b/>
                <w:caps w:val="0"/>
                <w:spacing w:val="0"/>
                <w:sz w:val="14"/>
                <w:szCs w:val="14"/>
              </w:rPr>
            </w:pPr>
            <w:r>
              <w:rPr>
                <w:rFonts w:hint="eastAsia" w:ascii="宋体" w:hAnsi="宋体" w:eastAsia="宋体" w:cs="宋体"/>
                <w:b/>
                <w:caps w:val="0"/>
                <w:color w:val="000000"/>
                <w:spacing w:val="0"/>
                <w:kern w:val="0"/>
                <w:sz w:val="21"/>
                <w:szCs w:val="21"/>
                <w:lang w:val="en-US" w:eastAsia="zh-CN" w:bidi="ar"/>
              </w:rPr>
              <w:t>    5月份，销售均价在2000元/㎡以下住宅的销售占住宅总销量的1%，2000—3000元/㎡占比8%3000—4000元/㎡占比53%，4000—5000元/㎡占比28%,5000元/㎡占比10%。</w:t>
            </w:r>
          </w:p>
          <w:p>
            <w:pPr>
              <w:pStyle w:val="2"/>
              <w:keepNext w:val="0"/>
              <w:keepLines w:val="0"/>
              <w:widowControl/>
              <w:suppressLineNumbers w:val="0"/>
              <w:spacing w:line="24" w:lineRule="atLeast"/>
              <w:jc w:val="center"/>
            </w:pPr>
            <w:r>
              <w:rPr>
                <w:rFonts w:hint="eastAsia" w:ascii="宋体" w:hAnsi="宋体" w:eastAsia="宋体" w:cs="宋体"/>
                <w:b/>
                <w:caps w:val="0"/>
                <w:color w:val="000000"/>
                <w:spacing w:val="0"/>
                <w:sz w:val="21"/>
                <w:szCs w:val="21"/>
              </w:rPr>
              <w:drawing>
                <wp:inline distT="0" distB="0" distL="114300" distR="114300">
                  <wp:extent cx="4857750" cy="1743075"/>
                  <wp:effectExtent l="0" t="0" r="381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857750" cy="17430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六、住宅销售面积分析</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b/>
                <w:caps w:val="0"/>
                <w:color w:val="000000"/>
                <w:spacing w:val="0"/>
                <w:kern w:val="0"/>
                <w:sz w:val="24"/>
                <w:szCs w:val="24"/>
                <w:lang w:val="en-US" w:eastAsia="zh-CN" w:bidi="ar"/>
              </w:rPr>
              <w:t>5月份，销售面积在90㎡以下住宅的销售占住宅总销量的0.4%，90—100㎡占比14.02%，100—120㎡占比28.29%，120—140元㎡占比47.48%，140㎡占比9.81%。</w:t>
            </w:r>
          </w:p>
          <w:p>
            <w:pPr>
              <w:keepNext w:val="0"/>
              <w:keepLines w:val="0"/>
              <w:widowControl/>
              <w:suppressLineNumbers w:val="0"/>
              <w:spacing w:before="0" w:beforeAutospacing="1" w:after="0" w:afterAutospacing="1" w:line="288" w:lineRule="atLeast"/>
              <w:ind w:left="0" w:right="0" w:firstLine="420"/>
              <w:jc w:val="center"/>
            </w:pPr>
            <w:r>
              <w:rPr>
                <w:rFonts w:hint="eastAsia" w:ascii="宋体" w:hAnsi="宋体" w:eastAsia="宋体" w:cs="宋体"/>
                <w:b/>
                <w:caps w:val="0"/>
                <w:color w:val="000000"/>
                <w:spacing w:val="0"/>
                <w:kern w:val="0"/>
                <w:sz w:val="24"/>
                <w:szCs w:val="24"/>
                <w:lang w:val="en-US" w:eastAsia="zh-CN" w:bidi="ar"/>
              </w:rPr>
              <w:drawing>
                <wp:inline distT="0" distB="0" distL="114300" distR="114300">
                  <wp:extent cx="4857750" cy="2047875"/>
                  <wp:effectExtent l="0" t="0" r="381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857750" cy="20478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88" w:lineRule="atLeast"/>
              <w:ind w:left="0" w:right="0" w:firstLine="420"/>
              <w:jc w:val="cente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216" w:lineRule="atLeast"/>
              <w:ind w:left="0" w:right="281" w:firstLine="417"/>
              <w:jc w:val="left"/>
            </w:pPr>
            <w:bookmarkStart w:id="7" w:name="_Toc4890"/>
            <w:r>
              <w:rPr>
                <w:rFonts w:hint="eastAsia" w:ascii="宋体" w:hAnsi="宋体" w:eastAsia="宋体" w:cs="宋体"/>
                <w:b/>
                <w:caps w:val="0"/>
                <w:color w:val="000000"/>
                <w:spacing w:val="0"/>
                <w:kern w:val="0"/>
                <w:sz w:val="24"/>
                <w:szCs w:val="24"/>
                <w:lang w:val="en-US" w:eastAsia="zh-CN" w:bidi="ar"/>
              </w:rPr>
              <w:t>七、本月楼盘销售排名</w:t>
            </w:r>
            <w:bookmarkEnd w:id="7"/>
            <w:r>
              <w:rPr>
                <w:rFonts w:hint="eastAsia" w:ascii="宋体" w:hAnsi="宋体" w:eastAsia="宋体" w:cs="宋体"/>
                <w:b/>
                <w:caps w:val="0"/>
                <w:color w:val="000000"/>
                <w:spacing w:val="0"/>
                <w:kern w:val="0"/>
                <w:sz w:val="24"/>
                <w:szCs w:val="24"/>
                <w:lang w:val="en-US" w:eastAsia="zh-CN" w:bidi="ar"/>
              </w:rPr>
              <w:t> </w:t>
            </w:r>
          </w:p>
          <w:tbl>
            <w:tblPr>
              <w:tblW w:w="6491" w:type="dxa"/>
              <w:jc w:val="center"/>
              <w:tblInd w:w="89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735"/>
              <w:gridCol w:w="2591"/>
              <w:gridCol w:w="21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6491" w:type="dxa"/>
                  <w:gridSpan w:val="3"/>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5月住宅销售套数排名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排名</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项目名称</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1</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龙城华府</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2</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检苑邸</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3</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金家·上城</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4</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清华花园</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5</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升华·翡翠一品</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6</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黄冈新世界广场</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7</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鸿发·东门华府</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8</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瑞丰世家小区</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9</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三清·国际华城</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173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10</w:t>
                  </w:r>
                </w:p>
              </w:tc>
              <w:tc>
                <w:tcPr>
                  <w:tcW w:w="25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振泰公寓</w:t>
                  </w:r>
                </w:p>
              </w:tc>
              <w:tc>
                <w:tcPr>
                  <w:tcW w:w="216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20</w:t>
                  </w:r>
                </w:p>
              </w:tc>
            </w:tr>
          </w:tbl>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bl>
            <w:tblPr>
              <w:tblW w:w="6482" w:type="dxa"/>
              <w:jc w:val="center"/>
              <w:tblInd w:w="90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130"/>
              <w:gridCol w:w="2130"/>
              <w:gridCol w:w="22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62" w:hRule="atLeast"/>
                <w:jc w:val="center"/>
              </w:trPr>
              <w:tc>
                <w:tcPr>
                  <w:tcW w:w="6482" w:type="dxa"/>
                  <w:gridSpan w:val="3"/>
                  <w:tcBorders>
                    <w:top w:val="single" w:color="000000" w:sz="8" w:space="0"/>
                    <w:left w:val="single" w:color="000000" w:sz="8" w:space="0"/>
                    <w:bottom w:val="single" w:color="000000" w:sz="8" w:space="0"/>
                    <w:right w:val="single" w:color="000000" w:sz="8" w:space="0"/>
                  </w:tcBorders>
                  <w:shd w:val="clear" w:color="auto" w:fill="BFBFB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5月商铺销售套数排名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62" w:hRule="atLeast"/>
                <w:jc w:val="center"/>
              </w:trPr>
              <w:tc>
                <w:tcPr>
                  <w:tcW w:w="213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排名</w:t>
                  </w:r>
                </w:p>
              </w:tc>
              <w:tc>
                <w:tcPr>
                  <w:tcW w:w="213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项目名称</w:t>
                  </w:r>
                </w:p>
              </w:tc>
              <w:tc>
                <w:tcPr>
                  <w:tcW w:w="22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2" w:hRule="atLeast"/>
                <w:jc w:val="center"/>
              </w:trPr>
              <w:tc>
                <w:tcPr>
                  <w:tcW w:w="213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1</w:t>
                  </w:r>
                </w:p>
              </w:tc>
              <w:tc>
                <w:tcPr>
                  <w:tcW w:w="213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东湖华都酒店二期</w:t>
                  </w:r>
                </w:p>
              </w:tc>
              <w:tc>
                <w:tcPr>
                  <w:tcW w:w="22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2" w:hRule="atLeast"/>
                <w:jc w:val="center"/>
              </w:trPr>
              <w:tc>
                <w:tcPr>
                  <w:tcW w:w="213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2</w:t>
                  </w:r>
                </w:p>
              </w:tc>
              <w:tc>
                <w:tcPr>
                  <w:tcW w:w="213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三清·国际华城</w:t>
                  </w:r>
                </w:p>
              </w:tc>
              <w:tc>
                <w:tcPr>
                  <w:tcW w:w="22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2" w:hRule="atLeast"/>
                <w:jc w:val="center"/>
              </w:trPr>
              <w:tc>
                <w:tcPr>
                  <w:tcW w:w="213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3</w:t>
                  </w:r>
                </w:p>
              </w:tc>
              <w:tc>
                <w:tcPr>
                  <w:tcW w:w="213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嘉豪·幸福里</w:t>
                  </w:r>
                </w:p>
              </w:tc>
              <w:tc>
                <w:tcPr>
                  <w:tcW w:w="22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color w:val="000000"/>
                      <w:kern w:val="0"/>
                      <w:sz w:val="24"/>
                      <w:szCs w:val="24"/>
                      <w:lang w:val="en-US" w:eastAsia="zh-CN" w:bidi="ar"/>
                    </w:rPr>
                    <w:t>12</w:t>
                  </w:r>
                </w:p>
              </w:tc>
            </w:tr>
          </w:tbl>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jc w:val="center"/>
            </w:pPr>
            <w:bookmarkStart w:id="8" w:name="_Toc28293"/>
            <w:r>
              <w:rPr>
                <w:rFonts w:hint="eastAsia" w:ascii="宋体" w:hAnsi="宋体" w:eastAsia="宋体" w:cs="宋体"/>
                <w:b/>
                <w:caps w:val="0"/>
                <w:color w:val="000000"/>
                <w:spacing w:val="0"/>
                <w:kern w:val="0"/>
                <w:sz w:val="24"/>
                <w:szCs w:val="24"/>
                <w:lang w:val="en-US" w:eastAsia="zh-CN" w:bidi="ar"/>
              </w:rPr>
              <w:t>第四部分</w:t>
            </w:r>
            <w:bookmarkEnd w:id="8"/>
            <w:r>
              <w:rPr>
                <w:rFonts w:hint="eastAsia" w:ascii="宋体" w:hAnsi="宋体" w:eastAsia="宋体" w:cs="宋体"/>
                <w:b/>
                <w:caps w:val="0"/>
                <w:color w:val="000000"/>
                <w:spacing w:val="0"/>
                <w:kern w:val="0"/>
                <w:sz w:val="24"/>
                <w:szCs w:val="24"/>
                <w:lang w:val="en-US" w:eastAsia="zh-CN" w:bidi="ar"/>
              </w:rPr>
              <w:t>  黄冈热点楼盘动态</w:t>
            </w:r>
          </w:p>
          <w:p>
            <w:pPr>
              <w:keepNext w:val="0"/>
              <w:keepLines w:val="0"/>
              <w:widowControl/>
              <w:suppressLineNumbers w:val="0"/>
              <w:spacing w:before="120" w:beforeAutospacing="0" w:after="120" w:afterAutospacing="0" w:line="288" w:lineRule="atLeast"/>
              <w:ind w:left="420" w:right="0" w:hanging="420"/>
              <w:jc w:val="left"/>
            </w:pPr>
            <w:r>
              <w:rPr>
                <w:rFonts w:hint="eastAsia" w:ascii="宋体" w:hAnsi="宋体" w:eastAsia="宋体" w:cs="宋体"/>
                <w:b/>
                <w:caps w:val="0"/>
                <w:color w:val="000000"/>
                <w:spacing w:val="0"/>
                <w:kern w:val="0"/>
                <w:sz w:val="24"/>
                <w:szCs w:val="24"/>
                <w:lang w:val="en-US" w:eastAsia="zh-CN" w:bidi="ar"/>
              </w:rPr>
              <w:drawing>
                <wp:inline distT="0" distB="0" distL="114300" distR="114300">
                  <wp:extent cx="104775" cy="104775"/>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104775" cy="104775"/>
                          </a:xfrm>
                          <a:prstGeom prst="rect">
                            <a:avLst/>
                          </a:prstGeom>
                          <a:noFill/>
                          <a:ln w="9525">
                            <a:noFill/>
                          </a:ln>
                        </pic:spPr>
                      </pic:pic>
                    </a:graphicData>
                  </a:graphic>
                </wp:inline>
              </w:drawing>
            </w:r>
            <w:r>
              <w:rPr>
                <w:rFonts w:hint="default" w:ascii="Times New Roman" w:hAnsi="Times New Roman" w:eastAsia="宋体" w:cs="Times New Roman"/>
                <w:b/>
                <w:caps w:val="0"/>
                <w:color w:val="000000"/>
                <w:spacing w:val="0"/>
                <w:kern w:val="0"/>
                <w:sz w:val="14"/>
                <w:szCs w:val="14"/>
                <w:lang w:val="en-US" w:eastAsia="zh-CN" w:bidi="ar"/>
              </w:rPr>
              <w:t>         </w:t>
            </w:r>
            <w:r>
              <w:rPr>
                <w:rFonts w:hint="eastAsia" w:ascii="宋体" w:hAnsi="宋体" w:eastAsia="宋体" w:cs="宋体"/>
                <w:b/>
                <w:caps w:val="0"/>
                <w:color w:val="000000"/>
                <w:spacing w:val="0"/>
                <w:kern w:val="0"/>
                <w:sz w:val="24"/>
                <w:szCs w:val="24"/>
                <w:lang w:val="en-US" w:eastAsia="zh-CN" w:bidi="ar"/>
              </w:rPr>
              <w:t>龙城华府</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地理位置：黄冈市黄州区西湖一路45号。</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项目规模：规划面积：4.09万㎡，建面：12.68万㎡，规划户数1154户，车位数390个，容积率为3.1，绿化率高达30%。</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项目情况：项目风格简约，规划6栋约26-33层的高层，2栋10-17层的小高层，1栋1+6层的多层电梯洋房和1+3层的公馆及1栋物业管理配套用房。</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户型面积：79㎡2房，89-100㎡3房，114㎡小4房，128㎡5房。</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开发商：黄冈市海翔置业有限公司。</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主要卖点：地段：项目地处城市中心，城央腹地，坐拥繁华。</w:t>
            </w:r>
          </w:p>
          <w:p>
            <w:pPr>
              <w:keepNext w:val="0"/>
              <w:keepLines w:val="0"/>
              <w:widowControl/>
              <w:suppressLineNumbers w:val="0"/>
              <w:spacing w:before="120" w:beforeAutospacing="0" w:after="120" w:afterAutospacing="0"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商业氛围：项目北邻黄州核心的中商百货、奥康步行街商圈，繁华商圈近在咫尺。</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教育资源：代代红幼儿园、宝塔小学、宝塔中学等优质教育机构，尽享一站式教育。</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生活便利：南拥城心稀缺的青砖湖湖景公园，东门派出所、国家电网等市政配套环绕四周，中国信合、工商银行等金融服务配套也一应俱全。</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户型面积：户型紧凑，面积控制合理，切合当下市场需求。</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主要缺点：</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b/>
                <w:caps w:val="0"/>
                <w:color w:val="000000"/>
                <w:spacing w:val="0"/>
                <w:kern w:val="0"/>
                <w:sz w:val="24"/>
                <w:szCs w:val="24"/>
                <w:lang w:val="en-US" w:eastAsia="zh-CN" w:bidi="ar"/>
              </w:rPr>
              <w:t>1、地处城心，环境嘈杂；</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b/>
                <w:caps w:val="0"/>
                <w:color w:val="000000"/>
                <w:spacing w:val="0"/>
                <w:kern w:val="0"/>
                <w:sz w:val="24"/>
                <w:szCs w:val="24"/>
                <w:lang w:val="en-US" w:eastAsia="zh-CN" w:bidi="ar"/>
              </w:rPr>
              <w:t>2、入口处有坡地，出入不便</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b/>
                <w:caps w:val="0"/>
                <w:color w:val="000000"/>
                <w:spacing w:val="0"/>
                <w:kern w:val="0"/>
                <w:sz w:val="21"/>
                <w:szCs w:val="21"/>
                <w:lang w:val="en-US" w:eastAsia="zh-CN" w:bidi="ar"/>
              </w:rPr>
              <w:t>项目效果图：</w:t>
            </w:r>
          </w:p>
          <w:p>
            <w:pPr>
              <w:keepNext w:val="0"/>
              <w:keepLines w:val="0"/>
              <w:widowControl/>
              <w:suppressLineNumbers w:val="0"/>
              <w:spacing w:before="0" w:beforeAutospacing="1" w:after="0" w:afterAutospacing="1" w:line="288" w:lineRule="atLeast"/>
              <w:ind w:left="0" w:right="0" w:firstLine="420"/>
              <w:jc w:val="center"/>
            </w:pPr>
            <w:r>
              <w:rPr>
                <w:rFonts w:hint="eastAsia" w:ascii="宋体" w:hAnsi="宋体" w:eastAsia="宋体" w:cs="宋体"/>
                <w:b/>
                <w:caps w:val="0"/>
                <w:color w:val="000000"/>
                <w:spacing w:val="0"/>
                <w:kern w:val="0"/>
                <w:sz w:val="21"/>
                <w:szCs w:val="21"/>
                <w:lang w:val="en-US" w:eastAsia="zh-CN" w:bidi="ar"/>
              </w:rPr>
              <w:drawing>
                <wp:inline distT="0" distB="0" distL="114300" distR="114300">
                  <wp:extent cx="4857750" cy="3257550"/>
                  <wp:effectExtent l="0" t="0" r="3810" b="381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4857750" cy="325755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288" w:lineRule="atLeast"/>
              <w:ind w:left="0" w:right="0" w:firstLine="420"/>
              <w:jc w:val="center"/>
            </w:pPr>
            <w:r>
              <w:rPr>
                <w:rFonts w:hint="eastAsia" w:ascii="宋体" w:hAnsi="宋体" w:eastAsia="宋体" w:cs="宋体"/>
                <w:b/>
                <w:caps w:val="0"/>
                <w:color w:val="000000"/>
                <w:spacing w:val="0"/>
                <w:kern w:val="0"/>
                <w:sz w:val="21"/>
                <w:szCs w:val="21"/>
                <w:lang w:val="en-US" w:eastAsia="zh-CN" w:bidi="ar"/>
              </w:rPr>
              <w:t> </w:t>
            </w:r>
          </w:p>
          <w:p>
            <w:pPr>
              <w:keepNext w:val="0"/>
              <w:keepLines w:val="0"/>
              <w:widowControl/>
              <w:suppressLineNumbers w:val="0"/>
              <w:spacing w:before="120" w:beforeAutospacing="0" w:after="120" w:afterAutospacing="0" w:line="216"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项目动态：4月30日开盘，新推89平三房！114平四房！一次性付款享9.8折购房优惠；认筹客户3000元抵30000元，开盘均价4000元/平米；现推出优惠房源122-126㎡三至四居室，持黄冈乐居会会员卡享99折优惠；5月黄冈城区住宅销冠，均价4085元/㎡。</w:t>
            </w:r>
          </w:p>
          <w:p>
            <w:pPr>
              <w:keepNext w:val="0"/>
              <w:keepLines w:val="0"/>
              <w:widowControl/>
              <w:suppressLineNumbers w:val="0"/>
              <w:spacing w:before="120" w:beforeAutospacing="0" w:after="120" w:afterAutospacing="0" w:line="216" w:lineRule="atLeast"/>
              <w:ind w:left="0" w:right="0" w:firstLine="412"/>
              <w:jc w:val="left"/>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before="120" w:beforeAutospacing="0" w:after="120" w:afterAutospacing="0" w:line="288" w:lineRule="atLeast"/>
              <w:ind w:left="420" w:right="0" w:hanging="420"/>
              <w:jc w:val="left"/>
            </w:pPr>
            <w:r>
              <w:rPr>
                <w:rFonts w:hint="default" w:ascii="Wingdings" w:hAnsi="Wingdings" w:eastAsia="宋体" w:cs="Wingdings"/>
                <w:b/>
                <w:caps w:val="0"/>
                <w:color w:val="FF0000"/>
                <w:spacing w:val="0"/>
                <w:kern w:val="0"/>
                <w:sz w:val="24"/>
                <w:szCs w:val="24"/>
                <w:lang w:val="en-US" w:eastAsia="zh-CN" w:bidi="ar"/>
              </w:rPr>
              <w:drawing>
                <wp:inline distT="0" distB="0" distL="114300" distR="114300">
                  <wp:extent cx="104775" cy="104775"/>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7"/>
                          <a:stretch>
                            <a:fillRect/>
                          </a:stretch>
                        </pic:blipFill>
                        <pic:spPr>
                          <a:xfrm>
                            <a:off x="0" y="0"/>
                            <a:ext cx="104775" cy="104775"/>
                          </a:xfrm>
                          <a:prstGeom prst="rect">
                            <a:avLst/>
                          </a:prstGeom>
                          <a:noFill/>
                          <a:ln w="9525">
                            <a:noFill/>
                          </a:ln>
                        </pic:spPr>
                      </pic:pic>
                    </a:graphicData>
                  </a:graphic>
                </wp:inline>
              </w:drawing>
            </w:r>
            <w:r>
              <w:rPr>
                <w:rFonts w:hint="default" w:ascii="Times New Roman" w:hAnsi="Times New Roman" w:eastAsia="宋体" w:cs="Times New Roman"/>
                <w:b/>
                <w:caps w:val="0"/>
                <w:color w:val="FF0000"/>
                <w:spacing w:val="0"/>
                <w:kern w:val="0"/>
                <w:sz w:val="14"/>
                <w:szCs w:val="14"/>
                <w:lang w:val="en-US" w:eastAsia="zh-CN" w:bidi="ar"/>
              </w:rPr>
              <w:t>         </w:t>
            </w:r>
            <w:r>
              <w:rPr>
                <w:rFonts w:hint="eastAsia" w:ascii="宋体" w:hAnsi="宋体" w:eastAsia="宋体" w:cs="宋体"/>
                <w:b/>
                <w:caps w:val="0"/>
                <w:color w:val="FF0000"/>
                <w:spacing w:val="0"/>
                <w:kern w:val="0"/>
                <w:sz w:val="24"/>
                <w:szCs w:val="24"/>
                <w:lang w:val="en-US" w:eastAsia="zh-CN" w:bidi="ar"/>
              </w:rPr>
              <w:t>三清·国际华城</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地理位置：黄州中环路与东坡大道交汇处。</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项目规模：占地面积：338亩，总建面40万㎡，总户数4300户，绿化率35%。</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开发商：湖北三清置业有限公司。</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项目情况：三清·国际华城项目依托城市东移的政策支持，文化、教育、交通、生活配套相继完善，住宅开发日益兴盛，区域价值提升。三清·国际华城分东、西两个部分，西区22万方全面交房，800户业主幸福入住，凭借步移景异、清新宜人、安全舒适的居住环境，先后获得首个黄冈文明小区、首个园林式居住区、首个中国黄冈最佳人居典范项目、首个地震安全示范区等称号。</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户型面积：二居室87-92平方米，三居室105-149平米，四居室135平米。</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开发商：湖北三清置业有限公司 。</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主要卖点：规模：总建面40余万方，规模较大，大规模项目，社区环境有保障。</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配套：商场、超市、银行、集贸市场、医院、学校、停车场、会所等配套设施一应俱全。</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发展：依托于城市东移的政策支持，中环路一带已形成蓬勃的发展之势，文化、教育、交通、生活配套相继完善，住宅开发日益兴盛，区域价值提升。</w:t>
            </w:r>
          </w:p>
          <w:p>
            <w:pPr>
              <w:keepNext w:val="0"/>
              <w:keepLines w:val="0"/>
              <w:widowControl/>
              <w:suppressLineNumbers w:val="0"/>
              <w:spacing w:before="120" w:beforeAutospacing="0" w:after="120" w:afterAutospacing="0" w:line="288" w:lineRule="atLeast"/>
              <w:ind w:left="0" w:right="0" w:firstLine="413"/>
              <w:jc w:val="left"/>
            </w:pPr>
            <w:r>
              <w:rPr>
                <w:rFonts w:hint="eastAsia" w:ascii="宋体" w:hAnsi="宋体" w:eastAsia="宋体" w:cs="宋体"/>
                <w:b/>
                <w:caps w:val="0"/>
                <w:color w:val="000000"/>
                <w:spacing w:val="0"/>
                <w:kern w:val="0"/>
                <w:sz w:val="24"/>
                <w:szCs w:val="24"/>
                <w:lang w:val="en-US" w:eastAsia="zh-CN" w:bidi="ar"/>
              </w:rPr>
              <w:t>户型：80~140㎡的紧凑两房、三房设计，功能齐备、布局合理，高得房率、良好的通透性和观景效果。</w:t>
            </w:r>
          </w:p>
          <w:p>
            <w:pPr>
              <w:keepNext w:val="0"/>
              <w:keepLines w:val="0"/>
              <w:widowControl/>
              <w:suppressLineNumbers w:val="0"/>
              <w:spacing w:before="0" w:beforeAutospacing="1" w:after="0" w:afterAutospacing="1"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主要缺点：</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b/>
                <w:caps w:val="0"/>
                <w:color w:val="000000"/>
                <w:spacing w:val="0"/>
                <w:kern w:val="0"/>
                <w:sz w:val="24"/>
                <w:szCs w:val="24"/>
                <w:lang w:val="en-US" w:eastAsia="zh-CN" w:bidi="ar"/>
              </w:rPr>
              <w:t>1、地理位置较偏，有待发展。</w:t>
            </w:r>
          </w:p>
          <w:p>
            <w:pPr>
              <w:keepNext w:val="0"/>
              <w:keepLines w:val="0"/>
              <w:widowControl/>
              <w:suppressLineNumbers w:val="0"/>
              <w:spacing w:before="0" w:beforeAutospacing="1" w:after="0" w:afterAutospacing="1" w:line="288" w:lineRule="atLeast"/>
              <w:ind w:left="0" w:right="0" w:firstLine="420"/>
              <w:jc w:val="left"/>
            </w:pPr>
            <w:r>
              <w:rPr>
                <w:rFonts w:hint="eastAsia" w:ascii="宋体" w:hAnsi="宋体" w:eastAsia="宋体" w:cs="宋体"/>
                <w:b/>
                <w:caps w:val="0"/>
                <w:color w:val="000000"/>
                <w:spacing w:val="0"/>
                <w:kern w:val="0"/>
                <w:sz w:val="24"/>
                <w:szCs w:val="24"/>
                <w:lang w:val="en-US" w:eastAsia="zh-CN" w:bidi="ar"/>
              </w:rPr>
              <w:t>2、质量欠佳，前期口碑不好。</w:t>
            </w:r>
          </w:p>
          <w:p>
            <w:pPr>
              <w:keepNext w:val="0"/>
              <w:keepLines w:val="0"/>
              <w:widowControl/>
              <w:suppressLineNumbers w:val="0"/>
              <w:spacing w:before="0" w:beforeAutospacing="1" w:after="0" w:afterAutospacing="1" w:line="216" w:lineRule="atLeast"/>
              <w:ind w:left="0" w:right="0" w:firstLine="113"/>
              <w:jc w:val="left"/>
            </w:pPr>
            <w:r>
              <w:rPr>
                <w:rFonts w:hint="eastAsia" w:ascii="宋体" w:hAnsi="宋体" w:eastAsia="宋体" w:cs="宋体"/>
                <w:b/>
                <w:caps w:val="0"/>
                <w:color w:val="000000"/>
                <w:spacing w:val="0"/>
                <w:kern w:val="0"/>
                <w:sz w:val="21"/>
                <w:szCs w:val="21"/>
                <w:lang w:val="en-US" w:eastAsia="zh-CN" w:bidi="ar"/>
              </w:rPr>
              <w:t>项目效果图：</w:t>
            </w:r>
          </w:p>
          <w:p>
            <w:pPr>
              <w:keepNext w:val="0"/>
              <w:keepLines w:val="0"/>
              <w:widowControl/>
              <w:suppressLineNumbers w:val="0"/>
              <w:spacing w:before="0" w:beforeAutospacing="1" w:after="0" w:afterAutospacing="1" w:line="216" w:lineRule="atLeast"/>
              <w:ind w:left="0" w:right="0" w:firstLine="113"/>
              <w:jc w:val="left"/>
            </w:pPr>
            <w:r>
              <w:rPr>
                <w:rFonts w:hint="eastAsia" w:ascii="宋体" w:hAnsi="宋体" w:eastAsia="宋体" w:cs="宋体"/>
                <w:b/>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4"/>
                <w:szCs w:val="24"/>
                <w:lang w:val="en-US" w:eastAsia="zh-CN" w:bidi="ar"/>
              </w:rPr>
              <w:drawing>
                <wp:inline distT="0" distB="0" distL="114300" distR="114300">
                  <wp:extent cx="4857750" cy="3009900"/>
                  <wp:effectExtent l="0" t="0" r="3810" b="762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9"/>
                          <a:stretch>
                            <a:fillRect/>
                          </a:stretch>
                        </pic:blipFill>
                        <pic:spPr>
                          <a:xfrm>
                            <a:off x="0" y="0"/>
                            <a:ext cx="4857750" cy="3009900"/>
                          </a:xfrm>
                          <a:prstGeom prst="rect">
                            <a:avLst/>
                          </a:prstGeom>
                          <a:noFill/>
                          <a:ln w="9525">
                            <a:noFill/>
                          </a:ln>
                        </pic:spPr>
                      </pic:pic>
                    </a:graphicData>
                  </a:graphic>
                </wp:inline>
              </w:drawing>
            </w: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before="156" w:beforeAutospacing="0" w:after="156" w:afterAutospacing="0" w:line="288" w:lineRule="atLeast"/>
              <w:ind w:left="0" w:right="0" w:firstLine="422"/>
              <w:jc w:val="left"/>
            </w:pPr>
            <w:r>
              <w:rPr>
                <w:rFonts w:hint="eastAsia" w:ascii="宋体" w:hAnsi="宋体" w:eastAsia="宋体" w:cs="宋体"/>
                <w:b/>
                <w:caps w:val="0"/>
                <w:color w:val="000000"/>
                <w:spacing w:val="0"/>
                <w:kern w:val="0"/>
                <w:sz w:val="24"/>
                <w:szCs w:val="24"/>
                <w:lang w:val="en-US" w:eastAsia="zh-CN" w:bidi="ar"/>
              </w:rPr>
              <w:t>项目动态：现推出优惠房源87-149㎡二至三居室，持黄冈乐居会会员卡享每套总价减2000元的优惠，均价3916元/㎡。</w:t>
            </w:r>
          </w:p>
          <w:p>
            <w:pPr>
              <w:keepNext w:val="0"/>
              <w:keepLines w:val="0"/>
              <w:widowControl/>
              <w:suppressLineNumbers w:val="0"/>
              <w:spacing w:before="156" w:beforeAutospacing="0" w:after="156" w:afterAutospacing="0" w:line="216" w:lineRule="atLeast"/>
              <w:ind w:left="0" w:right="0" w:firstLine="480"/>
              <w:jc w:val="cente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before="156" w:beforeAutospacing="0" w:after="156" w:afterAutospacing="0" w:line="24" w:lineRule="atLeast"/>
              <w:ind w:left="0" w:right="0"/>
              <w:jc w:val="right"/>
            </w:pPr>
            <w:r>
              <w:rPr>
                <w:rFonts w:hint="eastAsia" w:ascii="宋体" w:hAnsi="宋体" w:eastAsia="宋体" w:cs="宋体"/>
                <w:b/>
                <w:caps w:val="0"/>
                <w:color w:val="000000"/>
                <w:spacing w:val="0"/>
                <w:kern w:val="0"/>
                <w:sz w:val="28"/>
                <w:szCs w:val="28"/>
                <w:lang w:val="en-US" w:eastAsia="zh-CN" w:bidi="ar"/>
              </w:rPr>
              <w:t>武汉正邦兴业地产顾问有限公司</w:t>
            </w:r>
          </w:p>
          <w:p>
            <w:pPr>
              <w:keepNext w:val="0"/>
              <w:keepLines w:val="0"/>
              <w:widowControl/>
              <w:suppressLineNumbers w:val="0"/>
              <w:spacing w:before="156" w:beforeAutospacing="0" w:after="156" w:afterAutospacing="0" w:line="24" w:lineRule="atLeast"/>
              <w:ind w:left="0" w:right="0"/>
              <w:jc w:val="right"/>
            </w:pPr>
            <w:r>
              <w:rPr>
                <w:rFonts w:hint="eastAsia" w:ascii="宋体" w:hAnsi="宋体" w:eastAsia="宋体" w:cs="宋体"/>
                <w:b/>
                <w:caps w:val="0"/>
                <w:color w:val="000000"/>
                <w:spacing w:val="0"/>
                <w:kern w:val="0"/>
                <w:sz w:val="28"/>
                <w:szCs w:val="28"/>
                <w:lang w:val="en-US" w:eastAsia="zh-CN" w:bidi="ar"/>
              </w:rPr>
              <w:t>二○一三年六月</w:t>
            </w:r>
          </w:p>
        </w:tc>
      </w:tr>
    </w:tbl>
    <w:p>
      <w:pPr>
        <w:keepNext w:val="0"/>
        <w:keepLines w:val="0"/>
        <w:widowControl/>
        <w:suppressLineNumbers w:val="0"/>
        <w:jc w:val="left"/>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A8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2019-09-29T07:40:40Z</dcterms:created>
  <dc:creator>HP</dc:creator>
  <cp:lastModifiedBy>joke</cp:lastModifiedBy>
  <dcterms:modified xsi:type="dcterms:W3CDTF">2019-09-29T07:40:47Z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